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0F4" w:rsidRPr="00E31458" w:rsidRDefault="005460F4" w:rsidP="00C6424E">
      <w:pPr>
        <w:tabs>
          <w:tab w:val="center" w:pos="4677"/>
          <w:tab w:val="right" w:pos="9355"/>
        </w:tabs>
        <w:spacing w:after="0" w:line="240" w:lineRule="auto"/>
        <w:jc w:val="center"/>
        <w:rPr>
          <w:rFonts w:ascii="Times New Roman" w:hAnsi="Times New Roman"/>
          <w:b/>
          <w:bCs/>
          <w:sz w:val="20"/>
          <w:szCs w:val="20"/>
          <w:lang w:val="en-US"/>
        </w:rPr>
      </w:pPr>
    </w:p>
    <w:p w:rsidR="00C6424E" w:rsidRPr="00E31458" w:rsidRDefault="00C6424E" w:rsidP="00C6424E">
      <w:pPr>
        <w:tabs>
          <w:tab w:val="center" w:pos="4677"/>
          <w:tab w:val="right" w:pos="9355"/>
        </w:tabs>
        <w:spacing w:after="0" w:line="240" w:lineRule="auto"/>
        <w:jc w:val="center"/>
        <w:rPr>
          <w:rFonts w:ascii="Times New Roman" w:hAnsi="Times New Roman"/>
          <w:b/>
          <w:bCs/>
          <w:sz w:val="20"/>
          <w:szCs w:val="20"/>
        </w:rPr>
      </w:pPr>
      <w:bookmarkStart w:id="0" w:name="_GoBack"/>
      <w:bookmarkEnd w:id="0"/>
      <w:r w:rsidRPr="00E31458">
        <w:rPr>
          <w:rFonts w:ascii="Times New Roman" w:hAnsi="Times New Roman"/>
          <w:b/>
          <w:bCs/>
          <w:sz w:val="20"/>
          <w:szCs w:val="20"/>
        </w:rPr>
        <w:t>Протокол итогов</w:t>
      </w:r>
      <w:r w:rsidR="00777E8F" w:rsidRPr="00E31458">
        <w:rPr>
          <w:rFonts w:ascii="Times New Roman" w:hAnsi="Times New Roman"/>
          <w:b/>
          <w:bCs/>
          <w:sz w:val="20"/>
          <w:szCs w:val="20"/>
        </w:rPr>
        <w:t xml:space="preserve"> </w:t>
      </w:r>
      <w:r w:rsidRPr="00E31458">
        <w:rPr>
          <w:rFonts w:ascii="Times New Roman" w:hAnsi="Times New Roman"/>
          <w:b/>
          <w:bCs/>
          <w:sz w:val="20"/>
          <w:szCs w:val="20"/>
        </w:rPr>
        <w:t>№</w:t>
      </w:r>
      <w:r w:rsidR="00C41932">
        <w:rPr>
          <w:rFonts w:ascii="Times New Roman" w:hAnsi="Times New Roman"/>
          <w:b/>
          <w:bCs/>
          <w:sz w:val="20"/>
          <w:szCs w:val="20"/>
        </w:rPr>
        <w:t>5</w:t>
      </w:r>
    </w:p>
    <w:p w:rsidR="00C6424E" w:rsidRPr="00E31458" w:rsidRDefault="00C6424E" w:rsidP="00C6424E">
      <w:pPr>
        <w:tabs>
          <w:tab w:val="center" w:pos="4677"/>
          <w:tab w:val="right" w:pos="9355"/>
        </w:tabs>
        <w:spacing w:after="0" w:line="240" w:lineRule="auto"/>
        <w:jc w:val="center"/>
        <w:rPr>
          <w:rFonts w:ascii="Times New Roman" w:hAnsi="Times New Roman"/>
          <w:b/>
          <w:bCs/>
          <w:sz w:val="20"/>
          <w:szCs w:val="20"/>
          <w:lang w:val="kk-KZ"/>
        </w:rPr>
      </w:pPr>
      <w:r w:rsidRPr="00E31458">
        <w:rPr>
          <w:rFonts w:ascii="Times New Roman" w:hAnsi="Times New Roman"/>
          <w:b/>
          <w:bCs/>
          <w:sz w:val="20"/>
          <w:szCs w:val="20"/>
        </w:rPr>
        <w:t>по итогам закупа товаров способом запроса ценовых предложений</w:t>
      </w:r>
    </w:p>
    <w:p w:rsidR="00C6424E" w:rsidRPr="00E31458" w:rsidRDefault="00C6424E" w:rsidP="00C6424E">
      <w:pPr>
        <w:tabs>
          <w:tab w:val="center" w:pos="4677"/>
          <w:tab w:val="right" w:pos="9355"/>
        </w:tabs>
        <w:spacing w:after="0" w:line="240" w:lineRule="auto"/>
        <w:jc w:val="center"/>
        <w:rPr>
          <w:rFonts w:ascii="Times New Roman" w:hAnsi="Times New Roman"/>
          <w:sz w:val="20"/>
          <w:szCs w:val="20"/>
          <w:lang w:val="kk-KZ"/>
        </w:rPr>
      </w:pPr>
    </w:p>
    <w:p w:rsidR="00C6424E" w:rsidRPr="00E31458" w:rsidRDefault="00C6424E" w:rsidP="00C6424E">
      <w:pPr>
        <w:spacing w:after="0" w:line="240" w:lineRule="auto"/>
        <w:rPr>
          <w:rFonts w:ascii="Times New Roman" w:hAnsi="Times New Roman"/>
          <w:b/>
          <w:bCs/>
          <w:sz w:val="20"/>
          <w:szCs w:val="20"/>
        </w:rPr>
      </w:pPr>
      <w:r w:rsidRPr="00E31458">
        <w:rPr>
          <w:rFonts w:ascii="Times New Roman" w:hAnsi="Times New Roman"/>
          <w:b/>
          <w:bCs/>
          <w:sz w:val="20"/>
          <w:szCs w:val="20"/>
        </w:rPr>
        <w:t xml:space="preserve">г. </w:t>
      </w:r>
      <w:r w:rsidR="0074058C" w:rsidRPr="00E31458">
        <w:rPr>
          <w:rFonts w:ascii="Times New Roman" w:hAnsi="Times New Roman"/>
          <w:b/>
          <w:bCs/>
          <w:sz w:val="20"/>
          <w:szCs w:val="20"/>
        </w:rPr>
        <w:t>Астана</w:t>
      </w:r>
      <w:r w:rsidRPr="00E31458">
        <w:rPr>
          <w:rFonts w:ascii="Times New Roman" w:hAnsi="Times New Roman"/>
          <w:b/>
          <w:bCs/>
          <w:sz w:val="20"/>
          <w:szCs w:val="20"/>
        </w:rPr>
        <w:t xml:space="preserve">              </w:t>
      </w:r>
      <w:r w:rsidRPr="00E31458">
        <w:rPr>
          <w:rFonts w:ascii="Times New Roman" w:hAnsi="Times New Roman"/>
          <w:b/>
          <w:bCs/>
          <w:sz w:val="20"/>
          <w:szCs w:val="20"/>
          <w:lang w:val="kk-KZ"/>
        </w:rPr>
        <w:t xml:space="preserve">                                                                                                                                                    </w:t>
      </w:r>
      <w:r w:rsidR="000E5E81" w:rsidRPr="00E31458">
        <w:rPr>
          <w:rFonts w:ascii="Times New Roman" w:hAnsi="Times New Roman"/>
          <w:b/>
          <w:bCs/>
          <w:sz w:val="20"/>
          <w:szCs w:val="20"/>
          <w:lang w:val="kk-KZ"/>
        </w:rPr>
        <w:t xml:space="preserve">        </w:t>
      </w:r>
      <w:r w:rsidR="00BF47A5" w:rsidRPr="00E31458">
        <w:rPr>
          <w:rFonts w:ascii="Times New Roman" w:hAnsi="Times New Roman"/>
          <w:b/>
          <w:bCs/>
          <w:sz w:val="20"/>
          <w:szCs w:val="20"/>
          <w:lang w:val="kk-KZ"/>
        </w:rPr>
        <w:t xml:space="preserve">     </w:t>
      </w:r>
      <w:r w:rsidR="005F6645" w:rsidRPr="00E31458">
        <w:rPr>
          <w:rFonts w:ascii="Times New Roman" w:hAnsi="Times New Roman"/>
          <w:b/>
          <w:bCs/>
          <w:sz w:val="20"/>
          <w:szCs w:val="20"/>
          <w:lang w:val="kk-KZ"/>
        </w:rPr>
        <w:t xml:space="preserve">     </w:t>
      </w:r>
      <w:r w:rsidR="00953604" w:rsidRPr="00E31458">
        <w:rPr>
          <w:rFonts w:ascii="Times New Roman" w:hAnsi="Times New Roman"/>
          <w:b/>
          <w:bCs/>
          <w:sz w:val="20"/>
          <w:szCs w:val="20"/>
          <w:lang w:val="kk-KZ"/>
        </w:rPr>
        <w:t xml:space="preserve">                        </w:t>
      </w:r>
      <w:r w:rsidR="00E31458">
        <w:rPr>
          <w:rFonts w:ascii="Times New Roman" w:hAnsi="Times New Roman"/>
          <w:b/>
          <w:bCs/>
          <w:sz w:val="20"/>
          <w:szCs w:val="20"/>
          <w:lang w:val="kk-KZ"/>
        </w:rPr>
        <w:t xml:space="preserve">                          </w:t>
      </w:r>
      <w:r w:rsidR="00953604" w:rsidRPr="00E31458">
        <w:rPr>
          <w:rFonts w:ascii="Times New Roman" w:hAnsi="Times New Roman"/>
          <w:b/>
          <w:bCs/>
          <w:sz w:val="20"/>
          <w:szCs w:val="20"/>
          <w:lang w:val="kk-KZ"/>
        </w:rPr>
        <w:t xml:space="preserve"> </w:t>
      </w:r>
      <w:r w:rsidR="005F6645" w:rsidRPr="00E31458">
        <w:rPr>
          <w:rFonts w:ascii="Times New Roman" w:hAnsi="Times New Roman"/>
          <w:b/>
          <w:bCs/>
          <w:sz w:val="20"/>
          <w:szCs w:val="20"/>
          <w:lang w:val="kk-KZ"/>
        </w:rPr>
        <w:t xml:space="preserve"> </w:t>
      </w:r>
      <w:r w:rsidR="00C123F4" w:rsidRPr="00E31458">
        <w:rPr>
          <w:rFonts w:ascii="Times New Roman" w:hAnsi="Times New Roman"/>
          <w:b/>
          <w:bCs/>
          <w:sz w:val="20"/>
          <w:szCs w:val="20"/>
          <w:lang w:val="kk-KZ"/>
        </w:rPr>
        <w:t>«</w:t>
      </w:r>
      <w:r w:rsidR="00DC0B9E">
        <w:rPr>
          <w:rFonts w:ascii="Times New Roman" w:hAnsi="Times New Roman"/>
          <w:b/>
          <w:bCs/>
          <w:sz w:val="20"/>
          <w:szCs w:val="20"/>
          <w:lang w:val="kk-KZ"/>
        </w:rPr>
        <w:t>26</w:t>
      </w:r>
      <w:r w:rsidRPr="00E31458">
        <w:rPr>
          <w:rFonts w:ascii="Times New Roman" w:hAnsi="Times New Roman"/>
          <w:b/>
          <w:bCs/>
          <w:sz w:val="20"/>
          <w:szCs w:val="20"/>
          <w:lang w:val="kk-KZ"/>
        </w:rPr>
        <w:t xml:space="preserve">» </w:t>
      </w:r>
      <w:r w:rsidR="004C0ECC" w:rsidRPr="00E31458">
        <w:rPr>
          <w:rFonts w:ascii="Times New Roman" w:hAnsi="Times New Roman"/>
          <w:b/>
          <w:bCs/>
          <w:sz w:val="20"/>
          <w:szCs w:val="20"/>
          <w:lang w:val="kk-KZ"/>
        </w:rPr>
        <w:t>января</w:t>
      </w:r>
      <w:r w:rsidR="001F1C79" w:rsidRPr="00E31458">
        <w:rPr>
          <w:rFonts w:ascii="Times New Roman" w:hAnsi="Times New Roman"/>
          <w:b/>
          <w:bCs/>
          <w:sz w:val="20"/>
          <w:szCs w:val="20"/>
          <w:lang w:val="kk-KZ"/>
        </w:rPr>
        <w:t xml:space="preserve"> </w:t>
      </w:r>
      <w:r w:rsidRPr="00E31458">
        <w:rPr>
          <w:rFonts w:ascii="Times New Roman" w:hAnsi="Times New Roman"/>
          <w:b/>
          <w:bCs/>
          <w:sz w:val="20"/>
          <w:szCs w:val="20"/>
        </w:rPr>
        <w:t>20</w:t>
      </w:r>
      <w:r w:rsidR="007B5AD6" w:rsidRPr="00E31458">
        <w:rPr>
          <w:rFonts w:ascii="Times New Roman" w:hAnsi="Times New Roman"/>
          <w:b/>
          <w:bCs/>
          <w:sz w:val="20"/>
          <w:szCs w:val="20"/>
        </w:rPr>
        <w:t>2</w:t>
      </w:r>
      <w:r w:rsidR="004C0ECC" w:rsidRPr="00E31458">
        <w:rPr>
          <w:rFonts w:ascii="Times New Roman" w:hAnsi="Times New Roman"/>
          <w:b/>
          <w:bCs/>
          <w:sz w:val="20"/>
          <w:szCs w:val="20"/>
          <w:lang w:val="kk-KZ"/>
        </w:rPr>
        <w:t>3</w:t>
      </w:r>
      <w:r w:rsidRPr="00E31458">
        <w:rPr>
          <w:rFonts w:ascii="Times New Roman" w:hAnsi="Times New Roman"/>
          <w:b/>
          <w:bCs/>
          <w:sz w:val="20"/>
          <w:szCs w:val="20"/>
          <w:lang w:val="kk-KZ"/>
        </w:rPr>
        <w:t xml:space="preserve"> </w:t>
      </w:r>
      <w:r w:rsidRPr="00E31458">
        <w:rPr>
          <w:rFonts w:ascii="Times New Roman" w:hAnsi="Times New Roman"/>
          <w:b/>
          <w:bCs/>
          <w:sz w:val="20"/>
          <w:szCs w:val="20"/>
        </w:rPr>
        <w:t>года</w:t>
      </w:r>
    </w:p>
    <w:p w:rsidR="00CF7A48" w:rsidRPr="00E31458" w:rsidRDefault="00CF7A48" w:rsidP="00C6424E">
      <w:pPr>
        <w:tabs>
          <w:tab w:val="center" w:pos="4677"/>
          <w:tab w:val="right" w:pos="9355"/>
        </w:tabs>
        <w:spacing w:after="0" w:line="240" w:lineRule="auto"/>
        <w:jc w:val="both"/>
        <w:rPr>
          <w:rFonts w:ascii="Times New Roman" w:hAnsi="Times New Roman"/>
          <w:b/>
          <w:bCs/>
          <w:sz w:val="20"/>
          <w:szCs w:val="20"/>
        </w:rPr>
      </w:pPr>
    </w:p>
    <w:p w:rsidR="00C6424E" w:rsidRPr="00E31458" w:rsidRDefault="00C6424E" w:rsidP="00C6424E">
      <w:pPr>
        <w:tabs>
          <w:tab w:val="center" w:pos="4677"/>
          <w:tab w:val="right" w:pos="9355"/>
        </w:tabs>
        <w:spacing w:after="0" w:line="240" w:lineRule="auto"/>
        <w:jc w:val="both"/>
        <w:rPr>
          <w:rFonts w:ascii="Times New Roman" w:hAnsi="Times New Roman"/>
          <w:sz w:val="20"/>
          <w:szCs w:val="20"/>
        </w:rPr>
      </w:pPr>
      <w:r w:rsidRPr="00E31458">
        <w:rPr>
          <w:rFonts w:ascii="Times New Roman" w:hAnsi="Times New Roman"/>
          <w:b/>
          <w:sz w:val="20"/>
          <w:szCs w:val="20"/>
          <w:u w:val="single"/>
        </w:rPr>
        <w:t>Заказчик/организатор закупок:</w:t>
      </w:r>
      <w:r w:rsidRPr="00E31458">
        <w:rPr>
          <w:rFonts w:ascii="Times New Roman" w:hAnsi="Times New Roman"/>
          <w:sz w:val="20"/>
          <w:szCs w:val="20"/>
        </w:rPr>
        <w:t xml:space="preserve"> АО "Национальный научный   медицинский центр", РК, 010000, г.</w:t>
      </w:r>
      <w:r w:rsidR="000E5E81" w:rsidRPr="00E31458">
        <w:rPr>
          <w:rFonts w:ascii="Times New Roman" w:hAnsi="Times New Roman"/>
          <w:sz w:val="20"/>
          <w:szCs w:val="20"/>
        </w:rPr>
        <w:t>Астана</w:t>
      </w:r>
      <w:r w:rsidRPr="00E31458">
        <w:rPr>
          <w:rFonts w:ascii="Times New Roman" w:hAnsi="Times New Roman"/>
          <w:sz w:val="20"/>
          <w:szCs w:val="20"/>
        </w:rPr>
        <w:t>, пр</w:t>
      </w:r>
      <w:r w:rsidR="005B0183" w:rsidRPr="00E31458">
        <w:rPr>
          <w:rFonts w:ascii="Times New Roman" w:hAnsi="Times New Roman"/>
          <w:sz w:val="20"/>
          <w:szCs w:val="20"/>
          <w:lang w:val="kk-KZ"/>
        </w:rPr>
        <w:t>.</w:t>
      </w:r>
      <w:r w:rsidRPr="00E31458">
        <w:rPr>
          <w:rFonts w:ascii="Times New Roman" w:hAnsi="Times New Roman"/>
          <w:sz w:val="20"/>
          <w:szCs w:val="20"/>
          <w:lang w:val="kk-KZ"/>
        </w:rPr>
        <w:t xml:space="preserve"> </w:t>
      </w:r>
      <w:r w:rsidRPr="00E31458">
        <w:rPr>
          <w:rFonts w:ascii="Times New Roman" w:hAnsi="Times New Roman"/>
          <w:sz w:val="20"/>
          <w:szCs w:val="20"/>
        </w:rPr>
        <w:t>Абылай</w:t>
      </w:r>
      <w:r w:rsidR="000E5E81" w:rsidRPr="00E31458">
        <w:rPr>
          <w:rFonts w:ascii="Times New Roman" w:hAnsi="Times New Roman"/>
          <w:sz w:val="20"/>
          <w:szCs w:val="20"/>
        </w:rPr>
        <w:t xml:space="preserve"> </w:t>
      </w:r>
      <w:r w:rsidRPr="00E31458">
        <w:rPr>
          <w:rFonts w:ascii="Times New Roman" w:hAnsi="Times New Roman"/>
          <w:sz w:val="20"/>
          <w:szCs w:val="20"/>
        </w:rPr>
        <w:t>хана, дом 42.</w:t>
      </w:r>
    </w:p>
    <w:p w:rsidR="00C6424E" w:rsidRPr="00E31458" w:rsidRDefault="00C6424E" w:rsidP="00C6424E">
      <w:pPr>
        <w:spacing w:after="0" w:line="240" w:lineRule="auto"/>
        <w:jc w:val="both"/>
        <w:rPr>
          <w:rFonts w:ascii="Times New Roman" w:hAnsi="Times New Roman"/>
          <w:b/>
          <w:bCs/>
          <w:sz w:val="20"/>
          <w:szCs w:val="20"/>
        </w:rPr>
      </w:pPr>
      <w:r w:rsidRPr="00E31458">
        <w:rPr>
          <w:rFonts w:ascii="Times New Roman" w:hAnsi="Times New Roman"/>
          <w:b/>
          <w:bCs/>
          <w:sz w:val="20"/>
          <w:szCs w:val="20"/>
        </w:rPr>
        <w:t>1</w:t>
      </w:r>
      <w:r w:rsidRPr="00E31458">
        <w:rPr>
          <w:rFonts w:ascii="Times New Roman" w:hAnsi="Times New Roman"/>
          <w:sz w:val="20"/>
          <w:szCs w:val="20"/>
        </w:rPr>
        <w:t xml:space="preserve">.   АО  «Национальный научный медицинский центр»  (далее – АО «ННМЦ») </w:t>
      </w:r>
      <w:r w:rsidR="00EA4976" w:rsidRPr="00E31458">
        <w:rPr>
          <w:rFonts w:ascii="Times New Roman" w:hAnsi="Times New Roman"/>
          <w:color w:val="000000"/>
          <w:sz w:val="20"/>
          <w:szCs w:val="20"/>
        </w:rPr>
        <w:t xml:space="preserve">в соответствии с главой </w:t>
      </w:r>
      <w:r w:rsidR="00B40211" w:rsidRPr="00E31458">
        <w:rPr>
          <w:rFonts w:ascii="Times New Roman" w:hAnsi="Times New Roman"/>
          <w:color w:val="000000"/>
          <w:sz w:val="20"/>
          <w:szCs w:val="20"/>
        </w:rPr>
        <w:t>10</w:t>
      </w:r>
      <w:r w:rsidR="00EA4976" w:rsidRPr="00E31458">
        <w:rPr>
          <w:rFonts w:ascii="Times New Roman" w:hAnsi="Times New Roman"/>
          <w:color w:val="000000"/>
          <w:sz w:val="20"/>
          <w:szCs w:val="20"/>
        </w:rPr>
        <w:t xml:space="preserve"> правил организации и проведения закупа </w:t>
      </w:r>
      <w:r w:rsidR="00EA4976" w:rsidRPr="00E31458">
        <w:rPr>
          <w:rFonts w:ascii="Times New Roman" w:hAnsi="Times New Roman"/>
          <w:sz w:val="20"/>
          <w:szCs w:val="20"/>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 Постановление Правительства Республики Казахстан</w:t>
      </w:r>
      <w:r w:rsidR="00EA4976" w:rsidRPr="00E31458">
        <w:rPr>
          <w:rFonts w:ascii="Times New Roman" w:hAnsi="Times New Roman"/>
          <w:color w:val="000000"/>
          <w:sz w:val="20"/>
          <w:szCs w:val="20"/>
        </w:rPr>
        <w:t xml:space="preserve"> от 4 июня 2021 года №375 </w:t>
      </w:r>
      <w:r w:rsidRPr="00E31458">
        <w:rPr>
          <w:rFonts w:ascii="Times New Roman" w:hAnsi="Times New Roman"/>
          <w:color w:val="000000"/>
          <w:sz w:val="20"/>
          <w:szCs w:val="20"/>
        </w:rPr>
        <w:t xml:space="preserve">(далее – Правила) осуществила закуп товаров способом запроса ценовых предложений. </w:t>
      </w:r>
    </w:p>
    <w:p w:rsidR="00884E2F" w:rsidRDefault="00C6424E" w:rsidP="00C6424E">
      <w:pPr>
        <w:spacing w:after="0" w:line="240" w:lineRule="auto"/>
        <w:jc w:val="both"/>
        <w:rPr>
          <w:rFonts w:ascii="Times New Roman" w:hAnsi="Times New Roman"/>
          <w:sz w:val="20"/>
          <w:szCs w:val="20"/>
        </w:rPr>
      </w:pPr>
      <w:r w:rsidRPr="00E31458">
        <w:rPr>
          <w:rFonts w:ascii="Times New Roman" w:hAnsi="Times New Roman"/>
          <w:sz w:val="20"/>
          <w:szCs w:val="20"/>
        </w:rPr>
        <w:t>2</w:t>
      </w:r>
      <w:r w:rsidRPr="00E31458">
        <w:rPr>
          <w:rFonts w:ascii="Times New Roman" w:hAnsi="Times New Roman"/>
          <w:b/>
          <w:bCs/>
          <w:sz w:val="20"/>
          <w:szCs w:val="20"/>
        </w:rPr>
        <w:t>.</w:t>
      </w:r>
      <w:r w:rsidRPr="00E31458">
        <w:rPr>
          <w:rFonts w:ascii="Times New Roman" w:hAnsi="Times New Roman"/>
          <w:sz w:val="20"/>
          <w:szCs w:val="20"/>
        </w:rPr>
        <w:t xml:space="preserve"> Перечень закупаемых товаров, краткое описание</w:t>
      </w:r>
      <w:r w:rsidR="00884E2F">
        <w:rPr>
          <w:rFonts w:ascii="Times New Roman" w:hAnsi="Times New Roman"/>
          <w:sz w:val="20"/>
          <w:szCs w:val="20"/>
        </w:rPr>
        <w:t>:</w:t>
      </w:r>
    </w:p>
    <w:p w:rsidR="00962403" w:rsidRDefault="00C6424E" w:rsidP="00C6424E">
      <w:pPr>
        <w:spacing w:after="0" w:line="240" w:lineRule="auto"/>
        <w:jc w:val="both"/>
        <w:rPr>
          <w:rFonts w:ascii="Times New Roman" w:hAnsi="Times New Roman"/>
          <w:sz w:val="20"/>
          <w:szCs w:val="20"/>
        </w:rPr>
      </w:pPr>
      <w:r w:rsidRPr="00E31458">
        <w:rPr>
          <w:rFonts w:ascii="Times New Roman" w:hAnsi="Times New Roman"/>
          <w:sz w:val="20"/>
          <w:szCs w:val="20"/>
        </w:rPr>
        <w:t xml:space="preserve"> </w:t>
      </w:r>
    </w:p>
    <w:tbl>
      <w:tblPr>
        <w:tblW w:w="14454" w:type="dxa"/>
        <w:tblInd w:w="113" w:type="dxa"/>
        <w:tblLook w:val="04A0" w:firstRow="1" w:lastRow="0" w:firstColumn="1" w:lastColumn="0" w:noHBand="0" w:noVBand="1"/>
      </w:tblPr>
      <w:tblGrid>
        <w:gridCol w:w="704"/>
        <w:gridCol w:w="3402"/>
        <w:gridCol w:w="10348"/>
      </w:tblGrid>
      <w:tr w:rsidR="00962403" w:rsidRPr="00962403" w:rsidTr="00962403">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 лота</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Наименование</w:t>
            </w:r>
          </w:p>
        </w:tc>
        <w:tc>
          <w:tcPr>
            <w:tcW w:w="10348" w:type="dxa"/>
            <w:tcBorders>
              <w:top w:val="single" w:sz="4" w:space="0" w:color="auto"/>
              <w:left w:val="nil"/>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Техническая характеристика товаров</w:t>
            </w:r>
          </w:p>
        </w:tc>
      </w:tr>
      <w:tr w:rsidR="00962403" w:rsidRPr="00962403" w:rsidTr="00962403">
        <w:trPr>
          <w:trHeight w:val="9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lang w:val="en-US"/>
              </w:rPr>
            </w:pPr>
            <w:r w:rsidRPr="00962403">
              <w:rPr>
                <w:rFonts w:ascii="Times New Roman" w:hAnsi="Times New Roman"/>
                <w:color w:val="000000"/>
                <w:sz w:val="18"/>
                <w:szCs w:val="18"/>
              </w:rPr>
              <w:t>Моющий</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агент</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В</w:t>
            </w:r>
            <w:r w:rsidRPr="00962403">
              <w:rPr>
                <w:rFonts w:ascii="Times New Roman" w:hAnsi="Times New Roman"/>
                <w:color w:val="000000"/>
                <w:sz w:val="18"/>
                <w:szCs w:val="18"/>
                <w:lang w:val="en-US"/>
              </w:rPr>
              <w:t xml:space="preserve"> ACL TOP (Cleaning Agent Clean B), 1</w:t>
            </w:r>
            <w:r w:rsidRPr="00962403">
              <w:rPr>
                <w:rFonts w:ascii="Times New Roman" w:hAnsi="Times New Roman"/>
                <w:color w:val="000000"/>
                <w:sz w:val="18"/>
                <w:szCs w:val="18"/>
              </w:rPr>
              <w:t>х</w:t>
            </w:r>
            <w:r w:rsidRPr="00962403">
              <w:rPr>
                <w:rFonts w:ascii="Times New Roman" w:hAnsi="Times New Roman"/>
                <w:color w:val="000000"/>
                <w:sz w:val="18"/>
                <w:szCs w:val="18"/>
                <w:lang w:val="en-US"/>
              </w:rPr>
              <w:t>80</w:t>
            </w:r>
            <w:r w:rsidRPr="00962403">
              <w:rPr>
                <w:rFonts w:ascii="Times New Roman" w:hAnsi="Times New Roman"/>
                <w:color w:val="000000"/>
                <w:sz w:val="18"/>
                <w:szCs w:val="18"/>
              </w:rPr>
              <w:t>мл</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Моющий агент В ACL TOP /Cleaning Agent Clean B из комплекта Анализатор автоматический коагулометрический ACL TOP 9832700, 1х80мл. Очищающий раствор предназначен для технического обслуживания лабораторного оборудования. В состав набора входит: гипохлорит натрия. Форма выпуска: жидкая, готовая к применению. Поставляется в картонных упаковках (уп.: 1 фл. по 80 мл). Температура хранения +15 +25 C . </w:t>
            </w:r>
          </w:p>
        </w:tc>
      </w:tr>
      <w:tr w:rsidR="00962403" w:rsidRPr="00962403" w:rsidTr="00962403">
        <w:trPr>
          <w:trHeight w:val="78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lang w:val="en-US"/>
              </w:rPr>
            </w:pPr>
            <w:r w:rsidRPr="00962403">
              <w:rPr>
                <w:rFonts w:ascii="Times New Roman" w:hAnsi="Times New Roman"/>
                <w:color w:val="000000"/>
                <w:sz w:val="18"/>
                <w:szCs w:val="18"/>
              </w:rPr>
              <w:t>Моющий</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раствор</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А</w:t>
            </w:r>
            <w:r w:rsidRPr="00962403">
              <w:rPr>
                <w:rFonts w:ascii="Times New Roman" w:hAnsi="Times New Roman"/>
                <w:color w:val="000000"/>
                <w:sz w:val="18"/>
                <w:szCs w:val="18"/>
                <w:lang w:val="en-US"/>
              </w:rPr>
              <w:t xml:space="preserve"> ACL TOP (Cleaning Solution Clean A) 1</w:t>
            </w:r>
            <w:r w:rsidRPr="00962403">
              <w:rPr>
                <w:rFonts w:ascii="Times New Roman" w:hAnsi="Times New Roman"/>
                <w:color w:val="000000"/>
                <w:sz w:val="18"/>
                <w:szCs w:val="18"/>
              </w:rPr>
              <w:t>х</w:t>
            </w:r>
            <w:r w:rsidRPr="00962403">
              <w:rPr>
                <w:rFonts w:ascii="Times New Roman" w:hAnsi="Times New Roman"/>
                <w:color w:val="000000"/>
                <w:sz w:val="18"/>
                <w:szCs w:val="18"/>
                <w:lang w:val="en-US"/>
              </w:rPr>
              <w:t>500</w:t>
            </w:r>
            <w:r w:rsidRPr="00962403">
              <w:rPr>
                <w:rFonts w:ascii="Times New Roman" w:hAnsi="Times New Roman"/>
                <w:color w:val="000000"/>
                <w:sz w:val="18"/>
                <w:szCs w:val="18"/>
              </w:rPr>
              <w:t>мл</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Моющий раствор А ACL TOP/ Cleaning Solution Clean A  из комплекта Анализатор автоматический коагулометрический ACL TOP 9831700, 1х500мл. Очищающий раствор предназначен для ежедневной очистки коагулометров. В состав набора входит: соляная кислота. Форма выпуска: жидкая, готовая к применению. Поставляется в картонных упаковках (уп.: 1 фл. по 500 мл). Температура хранения +15 +25 C . </w:t>
            </w:r>
          </w:p>
        </w:tc>
      </w:tr>
      <w:tr w:rsidR="00962403" w:rsidRPr="00962403" w:rsidTr="00962403">
        <w:trPr>
          <w:trHeight w:val="112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Разбавитель факторов ACL TOP (DILUENT FACTOR) 1х100мл</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Разбавитель факторов ACL TOP /DILUENT FACTOR из комплекта Анализатор автоматический коагулометрический ACL TOP 9757600, 1х100мл на 500исследований. Разбавитель плазмы предназначен для разбавления плазмы при проведении исследований. Форма выпуска: жидкая, готовая к применению. Метод определения: нефелометрия или турбидиметрия. Поставляется в картонных упаковках (уп.: 1 фл. по 100 мл). Температура хранения +15 +25 C .</w:t>
            </w:r>
          </w:p>
        </w:tc>
      </w:tr>
      <w:tr w:rsidR="00962403" w:rsidRPr="00962403" w:rsidTr="00962403">
        <w:trPr>
          <w:trHeight w:val="225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4</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для определения тромбинового времени ACL TOP (Trombin time) 4х8мл и 1х9мл</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для определения тромбиновоe время ACL TOP /Trombin time  из комплекта Анализатор автоматический коагулометрический ACL TOР  9758515. Реагент для определения тромбинового времени в человеческой цитратной плазме. Анализ обычно выполняется для диагностики наследственного дефицита или дефектов фибриногена, для исключения контаминации гепарином. Измеряется время образования сгустка в исследуемом образце при превращении фибриногена в фибрин после добавления в плазму очищенного бычьего тромбина.Форма выпуска: лиофилизат. Методы определения: нефелометрия или турбидиметрия. Поставляется в картонных упаковках (уп.: 4 фл. по 8 мл реагента + 1 фл. по 9 мл разбавителя). Температура хранения +2 +8 C. Фасовка: 4 фл. по 8 мл реагента + 1 фл. по 9 мл разбавителя. Методы определения: нефелометрия или турбидиметрия. Используется для работы на "Закрытой" ситеме анализаторов семейства ACL ТОР (300, 500, 700) и ACL Elite PRO</w:t>
            </w:r>
          </w:p>
        </w:tc>
      </w:tr>
      <w:tr w:rsidR="00962403" w:rsidRPr="00962403" w:rsidTr="00962403">
        <w:trPr>
          <w:trHeight w:val="28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5</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для определения Д-Димера высокочувствительный ACL TOP (D-Dimer HS) 3х2мл+3х8мл+2х1мл</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для определения Д-Димера высокочувствительный ACL TOP / D-Dimer HS  из комплекта Анализатор автоматический коагулометрический ACL TOР, 20007700. Реагент для иммунохимического определения концентрации D-димера в человеческой цитратной плазме. Реагент имеет подтверждение FDA для исключения диагнозов ТГВ и ТЭЛА со 100% отрицательным прогностическим значением (ОПЗ). Используется для диагностики и исключения (совместно с общеклинической оценкой вероятности заболевания) венозные тромбоэмболии (тромбоз глубоких вен и ¶легочной эмболии). Для диагностики ДВС, а также для контроля длительности терапии оральными АК. Латексный реагент для определения Д-Димера представляет собой суспензию полистироловых латексных частиц, покрытых F(ab')2 фрагментами моноклональных антител, что позволяет более специфично определять Д-Димеры, исключая влияние таких эндогенных факторов, как ревматоидный фактор. Также, реакционный буфер, входяций в состав набора, содержит агенты, блокирующие антимышиные человеческие антитела (HAMA) с целью уменьшения их влияния на результат исследования. Пороговое значение Д-Димера = 230 нг/мл. Форма выпуска: лиофилизат. Метод определения: нефелометрия или турбидиметрия.Фасовка: 3 фл. по 2 мл  + 3 фл. по 8 мл + 2 фл. по 1 мл, (105 исследований). Методы определения: нефелометрия или турбидиметрия. Используется для работы на "Закрытой" ситеме анализаторов семейства ACL ТОР (300, 500, 700).</w:t>
            </w:r>
          </w:p>
        </w:tc>
      </w:tr>
      <w:tr w:rsidR="00962403" w:rsidRPr="00962403" w:rsidTr="00962403">
        <w:trPr>
          <w:trHeight w:val="156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6</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определения антиядерных антител скрининг (ANAscreen),96</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ANAscreen -антиядерные антитела скрининг 96 ORG538, для использования на анализаторе "Alisei Quality system" и определения антиядерных антител скрининг (антигены: RNP-70, RNP/Sm, Sm, SS-A, SS-B, Scl-70, центромера B, Jo-1) методом иммуноферментного анализа. набор ANA-SCREEN предназначен для качественного определения IgG-антител к ядерным антигенам (ANA) в образцах человеческой сыворотки или плазмы крови методом иммуноферментного анализа с целью скрининга аутоиммунных ревматических заболеваний: системной красной волчанки, синдрома Шегрена, склеродермии.Антигены: смесь высокоочищенных антигенов RNP-70, RNP/Sm, Sm, SS-A, SS-B, Scl-70, центромера B, Jo-1 в каждой лунке планшета</w:t>
            </w:r>
          </w:p>
        </w:tc>
      </w:tr>
      <w:tr w:rsidR="00962403" w:rsidRPr="00962403" w:rsidTr="00962403">
        <w:trPr>
          <w:trHeight w:val="157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7</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Набор реагентов для определения антинейтрофильных цитоплазматических антител (ANCA combi),96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ANCA combi - антинейтрофильные цитоплазматические антитела, 96 ORG530 ORGENTEC для использования на анализаторе "Alisei Quality system" и для определения антинейтрофильных цитоплазматических антител, ANCA combi (антигены: PR3, BPI, MPO, эластаза, катепсин G, лизоцим, лактоферрин) методом иммуноферментного анализа. набор ANCAcombi предназначен для качественного индивидуального (профильного)  определения IgG-антител к цитоплазматическим антигенам нейтрофилов (ANCA) в образцах человеческой сыворотки или плазмы крови методом иммуноферментного анализа с целью диагностики васкулитов и воспалительных заболеваний кишечника.Антигены: высокоочищенные антигены PR3, MPO, BPI, эластаза,катепсин G, лизоцим, лактоферрин. Каждый сорбирован в отдельной лунке планшета.</w:t>
            </w:r>
          </w:p>
        </w:tc>
      </w:tr>
      <w:tr w:rsidR="00962403" w:rsidRPr="00962403" w:rsidTr="00962403">
        <w:trPr>
          <w:trHeight w:val="183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8</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Реагент для определения Anti-HBc II 100тестов Architect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w:t>
            </w:r>
            <w:r w:rsidRPr="00962403">
              <w:rPr>
                <w:rFonts w:ascii="Times New Roman" w:hAnsi="Times New Roman"/>
                <w:color w:val="000000"/>
                <w:sz w:val="18"/>
                <w:szCs w:val="18"/>
                <w:lang w:val="en-US"/>
              </w:rPr>
              <w:t xml:space="preserve"> Anti-HBc II Architect i1000sr 8L4410. </w:t>
            </w:r>
            <w:r w:rsidRPr="00962403">
              <w:rPr>
                <w:rFonts w:ascii="Times New Roman" w:hAnsi="Times New Roman"/>
                <w:color w:val="000000"/>
                <w:sz w:val="18"/>
                <w:szCs w:val="18"/>
              </w:rPr>
              <w:t xml:space="preserve">Изделие медицинского назначения - Реагенты диагностические in vitro для иммунохимического анализатора Architect. Набор реагентов для оценки воспроизводимости теста и выявления системных аналитических отклонений системы ARCHITECT i System при качественном опаределении антител в ядерному антигену инфекции гепатита B(анти-HBc) в сыворотке и плазме крови человека. Состав набора: 2 флакона (8,0 мл каждый) контролей ARCHITECT Anti-HBc II: отрицательный контроль и положительный контроль. Отрицательный контроль содержит рекальцинированную плазму крови человека. Положительный контроль содержит рекальцинированную плазму крови человека и краситель, он реактивен на анти-HBc. Консерванты: ProClin 950 и азид натрия.. Совместим с иммунохимический автоматический анализатор АРХИТЕКТ i1000SR </w:t>
            </w:r>
          </w:p>
        </w:tc>
      </w:tr>
      <w:tr w:rsidR="00962403" w:rsidRPr="00962403" w:rsidTr="00962403">
        <w:trPr>
          <w:trHeight w:val="239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9</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для определения  Anti-HBs 100тестов</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для определения  Anti-HBs Architect i1000sr на 100 тестов, 7C1825. Изделие медицинского назначения - реагенты диагностические in vitro для иммунохимического анализатора Architect. Набор реагентов для количественного определения антител к поверхностному антигену вируса гепатита B (анти-HBs) в сыворотке и плазме крови человека. Состав набора: 1фл. 4,56 мл с микрочастицами, сенсибилизированными поверхностным (E. coli, рекомбинантным) антигеном гепатита B (подтипы ad и ay), в ТРИС-буфере с протеиновыми стабилизаторами. Минимальная концентрация: 0,125% твердых веществ. Консерванты: азид натрия и противомикробные препараты. 1фл х 5,9 мл коньюгата: акридин-меченый коньюгат поверхностного (E. coli, рекомбинантного) антигена гепатита B(под типы adиay) в МЕС буфере с протеиновыми стабилизаторами (бычьими и плазма крови человека. Минимальная концентрация: 0,10 мкг/мл. Консерванты: азид натрия и противомикробные препараты; . Совместим с иммунохимический автоматический анализатор АРХИТЕКТ i1000SR</w:t>
            </w:r>
          </w:p>
        </w:tc>
      </w:tr>
      <w:tr w:rsidR="00962403" w:rsidRPr="00962403" w:rsidTr="00962403">
        <w:trPr>
          <w:trHeight w:val="241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10</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Реагент для определения поверхстного гепатита В (HbsAg QUAL II) 100 тест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для определения поверхстного вируса гепатита В HbsAg QUAL II  2G2225. Медицинское изделие - Реагенты диагностические in vitro для качественного выявления поверхностного антигена вирусного гепатита В (HbsAg) на анализаторе "ARCHITECHT i". Набор реагентов, используемый для качественного определения поверхностного антигена вируса гепатита В (HBsAg) в сыворотке и плазме крови человека. Состав набора: 1фл.* 5,9мл акридин-меченого конъюгата антител к HBs (мышиных, моноклональных, IgG) и антител к HBs (козьих, IgG) в фосфатном буфере с плазмой крови человека и протеиновыми стабилизаторами (альбумин бычьей сыворотки) крови, фетальная бычья сыворотка крови, козьи IgG, мышиные IgG). Минимальная концентрация: 0,35 мкг/мл. Консерванты:ProClin 300 и ProClin 950. 1ф*5,9 мл дополнительного промывочного буфера, содержащего МЕС-буфер. Консерванты: ProClin 300 и ProClin 950. Совместим с иммунохимический автоматический анализатор АРХИТЕКТ i1000SR</w:t>
            </w:r>
          </w:p>
        </w:tc>
      </w:tr>
      <w:tr w:rsidR="00962403" w:rsidRPr="00962403" w:rsidTr="00962403">
        <w:trPr>
          <w:trHeight w:val="112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11</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Раствор пре-триггер ( Pre-Trigger) 1лх4</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Раствор пре-триггер ( Pre-Trigger) 1лх4 36000тест, 6E2365. Реагенты диагностические vitro для модульного иммунохимического анализатора ARCHITECTi. Предназначен для люминисценции исследуемого образца при проведении исследований. Детергент H2O2 &lt; 1.32%, стабилизирующие компоненты, дистиллированная вода &gt; 98.5%. 1фл. 975мл, температура хранения +2 +8t C. Совместим с иммунохимический автоматический анализатор АРХИТЕКТ i1000SR</w:t>
            </w:r>
          </w:p>
        </w:tc>
      </w:tr>
      <w:tr w:rsidR="00962403" w:rsidRPr="00962403" w:rsidTr="00962403">
        <w:trPr>
          <w:trHeight w:val="96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12</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Раствор триггер (Trigger) 1лх4</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Раствор триггер/Trigger (1лх4), 6C5560. Реагент диагностические in vitro для модульного иммунохимического анализатора ARCHITECTi. Предназначен для люминисценции исследуемого образца при проведении исследований. Детергент Triton X100 &lt; 1.99%, гидроксид натрия &lt; 1.4%, дистиллированная вода &gt; 96.6%. 4фл. по 975мл, температура хранения +15+25t C.  Совместим с иммунохимический автоматический анализатор АРХИТЕКТ i1000SR </w:t>
            </w:r>
          </w:p>
        </w:tc>
      </w:tr>
      <w:tr w:rsidR="00962403" w:rsidRPr="00962403" w:rsidTr="00962403">
        <w:trPr>
          <w:trHeight w:val="151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13</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кол-го определения ДНК вируса Эпштейна-Барр/ EBV-скрин монитор-FL</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«АмплиСенс EBV-скрин/монитор-FL»  R-V9-100-S (RG,iQ,Mx)предназначен для выявления и количественного определения ДНК вируса Эпштейна-Барр (EBV) путем амплификации специфического фрагмента ДНК вируса методом ПЦР с гибридизационно-флуоресцентной детекцией продуктов амплификации. Материалом для проведения ПЦР служат пробы ДНК, выделенные из плазмы периферической крови, амниотической жидкости, спинномозговой жидкости (ликвора), слюны, смывов и мазков из ротоглотки, бронхоальвеолярного лаважа, цельной крови, лейкоцитов крови, биоптатов внутренних органов). Реагенты диагностические in vitro на приборе для проведения ПЦР в режиме реального времени Rotor–Gene Q</w:t>
            </w:r>
          </w:p>
        </w:tc>
      </w:tr>
      <w:tr w:rsidR="00962403" w:rsidRPr="00962403" w:rsidTr="00962403">
        <w:trPr>
          <w:trHeight w:val="125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14</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Буферный  раствор ProCell, 6х380 мл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Буферный  раствор ProCell 11662988122 для анализаторов Cobas e, Elecsys  используется для выполнения следующих задач: ▪ Подготовка электродов ▪ Перенос реакционной смеси ▪ Промывка микрочастиц, покрытых стрептавидином ▪ Генерация сигналов. Системное решение для генерации электрохимических сигналов в иммунологических анализаторах Elecsys 2010 и cobas e 411. Реагенты и рабочие растворы: 6 x 380 мл, системный буфер Фосфатный буфер 300 ммоль/л, трипропиламин 180 ммоль/л; детергент ≤ 0.1 %; консервант, pH 6.8. Условия хранения: Хранить при 15</w:t>
            </w:r>
            <w:r w:rsidRPr="00962403">
              <w:rPr>
                <w:rFonts w:ascii="Times New Roman" w:hAnsi="Times New Roman"/>
                <w:color w:val="000000"/>
                <w:sz w:val="18"/>
                <w:szCs w:val="18"/>
              </w:rPr>
              <w:noBreakHyphen/>
              <w:t xml:space="preserve">25 °C </w:t>
            </w:r>
          </w:p>
        </w:tc>
      </w:tr>
      <w:tr w:rsidR="00962403" w:rsidRPr="00962403" w:rsidTr="00962403">
        <w:trPr>
          <w:trHeight w:val="22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15</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Антитела к тиреопероксидазе (Anti-TPO</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Антитела к тиреопероксидазе (Anti-TPO) на 100тестов 06368590190, для выполнения на анализаторе Cobas e. Назначение: Предназначен для количественного определения содержания антител к тироидной пероксидазе в человеческой сыворотке крови и плазме. Определение анти</w:t>
            </w:r>
            <w:r w:rsidRPr="00962403">
              <w:rPr>
                <w:rFonts w:ascii="Times New Roman" w:hAnsi="Times New Roman"/>
                <w:color w:val="000000"/>
                <w:sz w:val="18"/>
                <w:szCs w:val="18"/>
              </w:rPr>
              <w:noBreakHyphen/>
              <w:t>TПO используется как вспомогательный метод диагностики аутоиммунного тиреоидита. Реагенты и рабочие растворы: На упаковке с основными реагентами наклеена этикетка A</w:t>
            </w:r>
            <w:r w:rsidRPr="00962403">
              <w:rPr>
                <w:rFonts w:ascii="Times New Roman" w:hAnsi="Times New Roman"/>
                <w:color w:val="000000"/>
                <w:sz w:val="18"/>
                <w:szCs w:val="18"/>
              </w:rPr>
              <w:noBreakHyphen/>
              <w:t>TPO. M Микрочастицы, покрытые стрептавидином (прозрачная крышка), 1 флакон, 6.5 мл: Микрочастицы, покрытые стрептавидином, 0.72 мг/мл; консервант. R1 Анти</w:t>
            </w:r>
            <w:r w:rsidRPr="00962403">
              <w:rPr>
                <w:rFonts w:ascii="Times New Roman" w:hAnsi="Times New Roman"/>
                <w:color w:val="000000"/>
                <w:sz w:val="18"/>
                <w:szCs w:val="18"/>
              </w:rPr>
              <w:noBreakHyphen/>
              <w:t>ТПО</w:t>
            </w:r>
            <w:r w:rsidRPr="00962403">
              <w:rPr>
                <w:rFonts w:ascii="Times New Roman" w:hAnsi="Times New Roman"/>
                <w:color w:val="000000"/>
                <w:sz w:val="18"/>
                <w:szCs w:val="18"/>
              </w:rPr>
              <w:noBreakHyphen/>
              <w:t>антитела~Ru(bpy) (серая крышка), 1 флакон, 9 мл: Поликлональные анти</w:t>
            </w:r>
            <w:r w:rsidRPr="00962403">
              <w:rPr>
                <w:rFonts w:ascii="Times New Roman" w:hAnsi="Times New Roman"/>
                <w:color w:val="000000"/>
                <w:sz w:val="18"/>
                <w:szCs w:val="18"/>
              </w:rPr>
              <w:noBreakHyphen/>
              <w:t>ТПО-антитела (овцы), меченые рутениевым комплексом 1.0 мг/л; ТРИС-буфер 100 ммоль/л, pH 7.2; консервант. R2 ТПО~биотин (черная крышка), 1 флакон, 9 мл: Биотинилированный ТПО (рекомбинант) 0.15 мг/л; TRIS-буфер 30 ммоль/л, рН 7.0; консервант. Условия хранения: в неоткрытом виде при 2</w:t>
            </w:r>
            <w:r w:rsidRPr="00962403">
              <w:rPr>
                <w:rFonts w:ascii="Times New Roman" w:hAnsi="Times New Roman"/>
                <w:color w:val="000000"/>
                <w:sz w:val="18"/>
                <w:szCs w:val="18"/>
              </w:rPr>
              <w:noBreakHyphen/>
              <w:t>8 °C До конца срока годности.</w:t>
            </w:r>
          </w:p>
        </w:tc>
      </w:tr>
      <w:tr w:rsidR="00962403" w:rsidRPr="00962403" w:rsidTr="00962403">
        <w:trPr>
          <w:trHeight w:val="197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16</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Раково-эмбриональный антиген (CEA)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Раково-эмбриональный антиген (CEA) 11731629322, для анализаторов Cobas e, Elecsys на 100 тестов. Назначение: Предназначен для количественного определения карциноэмбрионального антигена в сыворотке и плазме крови человека. Данный анализ показан для серийного измерения CEA в качестве вспомогательного метода для мониторинга пациентов с раком. Реагенты и рабочие растворы: На упаковке с основными реагентами наклеена этикетка CEA. М Микрочастицы, покрытые стрептавидином (прозрачная крышка), 1 флакон, 8 мл: Микрочастицы, покрытые стрептавидином, 0.72 мг/мл; консервант. R1 Анти-CEA-антитела~биотин (серая крышка), 1 флакон, 10 мл: Биотинилированные моноклональные анти</w:t>
            </w:r>
            <w:r w:rsidRPr="00962403">
              <w:rPr>
                <w:rFonts w:ascii="Times New Roman" w:hAnsi="Times New Roman"/>
                <w:color w:val="000000"/>
                <w:sz w:val="18"/>
                <w:szCs w:val="18"/>
              </w:rPr>
              <w:noBreakHyphen/>
              <w:t>CEA антитела (мыши/человека) 3.0 мг/л; фосфатный буфер 100 ммоль/л, рН 6.0; консервант. R2 Анти-CEA-Ab~Ru(bpy) (черная крышка), 1 флакон, 8 мл: Моноклональные анти-CEA-антитела (мыши), меченые рутениевым комплексом 4.0 мг/л; фосфатный буфер 100 ммоль/л, pH 6.5; консервант. Условия хранения: в неоткрытом виде при 2</w:t>
            </w:r>
            <w:r w:rsidRPr="00962403">
              <w:rPr>
                <w:rFonts w:ascii="Times New Roman" w:hAnsi="Times New Roman"/>
                <w:color w:val="000000"/>
                <w:sz w:val="18"/>
                <w:szCs w:val="18"/>
              </w:rPr>
              <w:noBreakHyphen/>
              <w:t>8 °C До конца срока годности.</w:t>
            </w:r>
          </w:p>
        </w:tc>
      </w:tr>
      <w:tr w:rsidR="00962403" w:rsidRPr="00962403" w:rsidTr="00962403">
        <w:trPr>
          <w:trHeight w:val="171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17</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Фрагмент Цитокератина 19 (Cyfra 21-1)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 Кассета Фрагмент Цитокератина 19 (Cyfra 21-1),11820966122  для анализаторов Cobas e, Elecsys на 100 тестов. Назначение: Предназначен для количественного определения фрагментов цитокератина 19 в сыворотке и плазме крови человека. Реагенты и рабочие растворы: На упаковке с основными реагентами наклеена этикетка CYFRA. М Микрочастицы, покрытые стрептавидином (прозрачная крышка), 1 флакон, 6.5 мл: Микрочастицы, покрытые стрептавидином, 0.72 мг/мл; консервант. R1 Анти-цитокератин 19</w:t>
            </w:r>
            <w:r w:rsidRPr="00962403">
              <w:rPr>
                <w:rFonts w:ascii="Times New Roman" w:hAnsi="Times New Roman"/>
                <w:color w:val="000000"/>
                <w:sz w:val="18"/>
                <w:szCs w:val="18"/>
              </w:rPr>
              <w:noBreakHyphen/>
              <w:t>Ab~биотин (серый колпачок), 1 флакон, 10 мл: Биотинилированное моноклональное анти-цитокератин 19-антитело (KS 19.1; мыши),1.5 мг/л, фосфатный буфер 100 ммоль/л, рН 7.2; консервант. R2 Анти-цитокератин 19</w:t>
            </w:r>
            <w:r w:rsidRPr="00962403">
              <w:rPr>
                <w:rFonts w:ascii="Times New Roman" w:hAnsi="Times New Roman"/>
                <w:color w:val="000000"/>
                <w:sz w:val="18"/>
                <w:szCs w:val="18"/>
              </w:rPr>
              <w:noBreakHyphen/>
              <w:t>Ab~Ru(bpy) (черный колпачок), 1 флакон, 10 мл: Моноклональные анти-цитокератин 19 антитела (BM 19.21; мыши), меченые рутениевым комплексом 2 мг/л; фосфатный буфер 100 ммоль/л, pH 7.2; консервант. Условия хранения: в неоткрытом виде при 2</w:t>
            </w:r>
            <w:r w:rsidRPr="00962403">
              <w:rPr>
                <w:rFonts w:ascii="Times New Roman" w:hAnsi="Times New Roman"/>
                <w:color w:val="000000"/>
                <w:sz w:val="18"/>
                <w:szCs w:val="18"/>
              </w:rPr>
              <w:noBreakHyphen/>
              <w:t>8 °C До конца срока годности.</w:t>
            </w:r>
          </w:p>
        </w:tc>
      </w:tr>
      <w:tr w:rsidR="00962403" w:rsidRPr="00962403" w:rsidTr="00962403">
        <w:trPr>
          <w:trHeight w:val="176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18</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Ферритин (Ferritin)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Ферритин V2(Ferritin)  03737551190 для анализаторов Cobas e, Elecsys на 100 тестов. Предназначен для количественного определения ферритина в сыворотке и плазме крови человека. На упаковке с основными реагентами наклеена этикетка FERR. М Микрочастицы, покрытые стрептавидином (прозрачная крышка), 1 флакон, 6.5 мл: Микрочастицы, покрытые стрептавидином, 0.72 мг/мл; консервант. R1 Анти</w:t>
            </w:r>
            <w:r w:rsidRPr="00962403">
              <w:rPr>
                <w:rFonts w:ascii="Times New Roman" w:hAnsi="Times New Roman"/>
                <w:color w:val="000000"/>
                <w:sz w:val="18"/>
                <w:szCs w:val="18"/>
              </w:rPr>
              <w:noBreakHyphen/>
              <w:t>ферритин-антитела~биотин (серая крышка), 1 флакон, 10 мл: Биотинилированные моноклональные анти-ферритин антитела (мыши) 3.0 мг/л; фосфатный буфер 100 ммоль/л, рН 7.2; консервант. R2 Анти</w:t>
            </w:r>
            <w:r w:rsidRPr="00962403">
              <w:rPr>
                <w:rFonts w:ascii="Times New Roman" w:hAnsi="Times New Roman"/>
                <w:color w:val="000000"/>
                <w:sz w:val="18"/>
                <w:szCs w:val="18"/>
              </w:rPr>
              <w:noBreakHyphen/>
              <w:t>ферритин</w:t>
            </w:r>
            <w:r w:rsidRPr="00962403">
              <w:rPr>
                <w:rFonts w:ascii="Times New Roman" w:hAnsi="Times New Roman"/>
                <w:color w:val="000000"/>
                <w:sz w:val="18"/>
                <w:szCs w:val="18"/>
              </w:rPr>
              <w:noBreakHyphen/>
              <w:t>Ab~Ru(bpy) (черный колпачок), 1 флакон, 10 мл: Моноклональные анти-ферритин-антитела (мыши), меченые рутениевым комплексом 6.0 мг/л; фосфатный буфер 100 ммоль/л, pH 7.2; консервант. Условия хранения: в неоткрытом виде при 2</w:t>
            </w:r>
            <w:r w:rsidRPr="00962403">
              <w:rPr>
                <w:rFonts w:ascii="Times New Roman" w:hAnsi="Times New Roman"/>
                <w:color w:val="000000"/>
                <w:sz w:val="18"/>
                <w:szCs w:val="18"/>
              </w:rPr>
              <w:noBreakHyphen/>
              <w:t>8 °C До конца срока годности.</w:t>
            </w:r>
          </w:p>
        </w:tc>
      </w:tr>
      <w:tr w:rsidR="00962403" w:rsidRPr="00962403" w:rsidTr="00962403">
        <w:trPr>
          <w:trHeight w:val="263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19</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Фолиевой кислоты (Folate)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Фолиевой кислоты (Folate) 07559992190  для анализаторов Cobas e, Elecsys на 100 тестов. Назначение: Предназначен для количественного определения солей фолиевой кислоты в сыворотке и плазме крови человека. Реагенты и рабочие растворы: На упаковке с основными реагентами (M, R1, R2) и реагентах для предварительной обработки (PT1, PT2) наклеена этикетка Fol III. PT1 Реактив предварительной обработки 1 (белый колпачок), 1 флакон, 4 мл: 2-меркаптоэтансульфоновая кислота (МЕСНА) 40 г/л, pH 5.5. PT2 Реактив предварительной обработки 2 (серый колпачок), 1 флакон, 5 мл: Гидроксид натрия 25 г/л. М Микрочастицы, покрытые стрептавидином (прозрачная крышка), 1 флакон, 6.5 мл: Микрочастицы, покрытые стрептавидином, 0.72 мг/мл; консервант. R1 Фолат-связывающий белок~Ru(bpy) (серый колпачок), 1 флакон, 9 мл: Помеченный рутениевым комплексом фолат-связывающий белок 75 мкг/л; альбумин сыворотки крови человека (стабилизатор); боратный/фосфатный/цитратный буфер 70 ммоль/л, pH 5.5; консервант. R2 Фолаты~биотин (черная крышка), 1 флакон, 8 мл: Биотинилированные соли фолиевой кислоты 17 мкг/л; биотин 120 мкг/л; альбумин сыворотки крови человека (стабилизатор); боратныйбуфер 100 ммоль/л, pH 9.0; консервант. Условия хранения: в неоткрытом виде при 2</w:t>
            </w:r>
            <w:r w:rsidRPr="00962403">
              <w:rPr>
                <w:rFonts w:ascii="Times New Roman" w:hAnsi="Times New Roman"/>
                <w:color w:val="000000"/>
                <w:sz w:val="18"/>
                <w:szCs w:val="18"/>
              </w:rPr>
              <w:noBreakHyphen/>
              <w:t>8 °C До конца срока годности.</w:t>
            </w:r>
          </w:p>
        </w:tc>
      </w:tr>
      <w:tr w:rsidR="00962403" w:rsidRPr="00962403" w:rsidTr="00962403">
        <w:trPr>
          <w:trHeight w:val="21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20</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Трийодтиронин свободный (FT3)</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Трийодтиронин свободный (FT3)06437206190  для анализаторов Cobas e, Elecsys на 200 тестов. Назначение: Предназначен для количественного определения содержания свободного трийодтиронина в сыворотке и плазме крови человека.Реагенты и рабочие растворы: На упаковке с основными реагентами наклеена этикетка FT3 III. М Микрочастицы, покрытые стрептавидином (прозрачная крышка), 1 флакон, 12 мл: Микрочастицы, покрытые стрептавидином, 0.72 мг/мл; консервант. R1 Анти</w:t>
            </w:r>
            <w:r w:rsidRPr="00962403">
              <w:rPr>
                <w:rFonts w:ascii="Times New Roman" w:hAnsi="Times New Roman"/>
                <w:color w:val="000000"/>
                <w:sz w:val="18"/>
                <w:szCs w:val="18"/>
              </w:rPr>
              <w:noBreakHyphen/>
              <w:t>T3</w:t>
            </w:r>
            <w:r w:rsidRPr="00962403">
              <w:rPr>
                <w:rFonts w:ascii="Times New Roman" w:hAnsi="Times New Roman"/>
                <w:color w:val="000000"/>
                <w:sz w:val="18"/>
                <w:szCs w:val="18"/>
              </w:rPr>
              <w:noBreakHyphen/>
              <w:t>антитело~Ru(bpy) (серая крышка), 1 флакон, 18 мл: Моноклональные анти</w:t>
            </w:r>
            <w:r w:rsidRPr="00962403">
              <w:rPr>
                <w:rFonts w:ascii="Times New Roman" w:hAnsi="Times New Roman"/>
                <w:color w:val="000000"/>
                <w:sz w:val="18"/>
                <w:szCs w:val="18"/>
              </w:rPr>
              <w:noBreakHyphen/>
              <w:t>T3</w:t>
            </w:r>
            <w:r w:rsidRPr="00962403">
              <w:rPr>
                <w:rFonts w:ascii="Times New Roman" w:hAnsi="Times New Roman"/>
                <w:color w:val="000000"/>
                <w:sz w:val="18"/>
                <w:szCs w:val="18"/>
              </w:rPr>
              <w:noBreakHyphen/>
              <w:t>антитела (овцы), меченые рутениевым комплексом 18 нг/мл; фосфатный буфер 100 ммоль/л, pH 7.0; консервант. R2 T3~биотин (черная крышка), 1 флакон, 18 мл: Биотинилированный T3 2.4 нг/мл; фосфатный буфер 100 ммоль/л, рН 7.0; консервант. Условия хранения: в неоткрытом виде при 2</w:t>
            </w:r>
            <w:r w:rsidRPr="00962403">
              <w:rPr>
                <w:rFonts w:ascii="Times New Roman" w:hAnsi="Times New Roman"/>
                <w:color w:val="000000"/>
                <w:sz w:val="18"/>
                <w:szCs w:val="18"/>
              </w:rPr>
              <w:noBreakHyphen/>
              <w:t>8 °C До конца срока годности.</w:t>
            </w:r>
          </w:p>
        </w:tc>
      </w:tr>
      <w:tr w:rsidR="00962403" w:rsidRPr="00962403" w:rsidTr="00962403">
        <w:trPr>
          <w:trHeight w:val="69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21</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lang w:val="en-US"/>
              </w:rPr>
            </w:pPr>
            <w:r w:rsidRPr="00962403">
              <w:rPr>
                <w:rFonts w:ascii="Times New Roman" w:hAnsi="Times New Roman"/>
                <w:color w:val="000000"/>
                <w:sz w:val="18"/>
                <w:szCs w:val="18"/>
              </w:rPr>
              <w:t>Раствор</w:t>
            </w:r>
            <w:r w:rsidRPr="00962403">
              <w:rPr>
                <w:rFonts w:ascii="Times New Roman" w:hAnsi="Times New Roman"/>
                <w:color w:val="000000"/>
                <w:sz w:val="18"/>
                <w:szCs w:val="18"/>
                <w:lang w:val="en-US"/>
              </w:rPr>
              <w:t xml:space="preserve"> Sys Wash Elecsys,cobas e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Раствор</w:t>
            </w:r>
            <w:r w:rsidRPr="00962403">
              <w:rPr>
                <w:rFonts w:ascii="Times New Roman" w:hAnsi="Times New Roman"/>
                <w:color w:val="000000"/>
                <w:sz w:val="18"/>
                <w:szCs w:val="18"/>
                <w:lang w:val="en-US"/>
              </w:rPr>
              <w:t xml:space="preserve"> Sys Wash Elecsys,cobas e  11930346122 , 1*500</w:t>
            </w:r>
            <w:r w:rsidRPr="00962403">
              <w:rPr>
                <w:rFonts w:ascii="Times New Roman" w:hAnsi="Times New Roman"/>
                <w:color w:val="000000"/>
                <w:sz w:val="18"/>
                <w:szCs w:val="18"/>
              </w:rPr>
              <w:t>мл</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для</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анализаторов</w:t>
            </w:r>
            <w:r w:rsidRPr="00962403">
              <w:rPr>
                <w:rFonts w:ascii="Times New Roman" w:hAnsi="Times New Roman"/>
                <w:color w:val="000000"/>
                <w:sz w:val="18"/>
                <w:szCs w:val="18"/>
                <w:lang w:val="en-US"/>
              </w:rPr>
              <w:t xml:space="preserve"> Cobas e, Elecsys . </w:t>
            </w:r>
            <w:r w:rsidRPr="00962403">
              <w:rPr>
                <w:rFonts w:ascii="Times New Roman" w:hAnsi="Times New Roman"/>
                <w:color w:val="000000"/>
                <w:sz w:val="18"/>
                <w:szCs w:val="18"/>
              </w:rPr>
              <w:t xml:space="preserve">Системный раствор. Назначение: добавляется в емкость с дистиллированной водой для предотвращения образования микроорганизмов, а также для удаления кислорода из воды. Реагенты и рабочие растворы: 2-метил-2H-изотиазол-3-он. Условия хранения: Хранить при 2 8 °C. </w:t>
            </w:r>
          </w:p>
        </w:tc>
      </w:tr>
      <w:tr w:rsidR="00962403" w:rsidRPr="00962403" w:rsidTr="00962403">
        <w:trPr>
          <w:trHeight w:val="211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22</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Простата-специфический антиген общий (total PSA)</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Простата-специфический антиген общий (total PSA)   08791686190 для анализаторов Cobas e, Elecsys на 100 тестов. Назначение: Тест in vitro для количественного определения концентрации общего (свободного + связанного) простато специфичного антигена (обПСА) в сыворотке или плазме крови человека.Реагенты и рабочие растворы: Микрочастицы, покрытые стрептавидином (прозрачная крышка), 1 флакон, 6.5 мл: Микрочастицы, покрытые стрептавидином, 0.72 мг/мл; консервант. R1 Анти-ПСА-Ab~биотин (серая крышка), 1 флакон, 10 мл: Биотинилированные моноклональные анти-ПСА-антитела (мыши) 1.5 мг/л; фосфатный буфер 100 ммоль/л, рН 6.0; консервант. R2 Анти-ПСА-Ab~Ru(bpy) (черная крышка), 1 флакон, 10 мл: Моноклональные анти-ПСА-антитела (мыши), меченые рутениевым комплексом 1.0 мг/л; фосфатный буфер 100 ммоль/л, pH 6.0; консервант. Условия хранения: в неоткрытом виде при 2 8 °C До конца срока годности.</w:t>
            </w:r>
          </w:p>
        </w:tc>
      </w:tr>
      <w:tr w:rsidR="00962403" w:rsidRPr="00962403" w:rsidTr="00962403">
        <w:trPr>
          <w:trHeight w:val="269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23</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Витамин В12 (Vitamin B12)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Витамин В12 (Vitamin B12) 07212771190  для анализаторов Cobas e, Elecsys на 100 тестов. Назначение: Анализ связывания для in vitro количественного определения уровней витамина B12 в сыворотке крови и плазме крови человека. Реагенты и рабочие растворы: Упаковка с основными реагентами (M, R1, R2) и реагенты для предварительной обработки (PT1, PT2) маркированы как B12 II.PT1 Реагент 1 для предварительной обработки (крышка белогоцвета), 1 флакон, 4 мл:Дитиотреитол 1.028 г/л; стабилизатор, pH 5.5.PT2 Реагент 2 для предварительной обработки (крышка серого</w:t>
            </w:r>
            <w:r w:rsidRPr="00962403">
              <w:rPr>
                <w:rFonts w:ascii="Times New Roman" w:hAnsi="Times New Roman"/>
                <w:color w:val="000000"/>
                <w:sz w:val="18"/>
                <w:szCs w:val="18"/>
              </w:rPr>
              <w:br/>
              <w:t>цвета), 1 флакон, 4 мл:Натрия гидроксид 40 г/л; натрия цианид 2.205 г/л.M Микрочастицы, покрытые стрептавидином (прозрачная крышка),1 флакон, 6.5 мл:Микрочастицы, покрытые стрептавидином, 0.72 мг/мл;консервант.R1 Внутренний фактор~Ru(bpy) (крышка серого цвета), 1 флакон,10 мл:Рекомбинантный свиной внутренний фактор, меченый рутением,4 мкг/л; дицианид кобинамида 15 мкг/л; стабилизатор; альбуминсыворотки крови человека; фосфатный буфер, pH 5.5;консервант.R2 Витамин B12~биотин (крышка черного цвета), 1 флакон, 8.5 мл:Биотинилированный витамин B12 25 мкг/л; биотин 3 мкг/л;фосфатный буфер, рН 7.0; консервант. Условия хранения: в неоткрытом виде при 2 8 °C До конца срока годности.</w:t>
            </w:r>
          </w:p>
        </w:tc>
      </w:tr>
      <w:tr w:rsidR="00962403" w:rsidRPr="00962403" w:rsidTr="00962403">
        <w:trPr>
          <w:trHeight w:val="27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24</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Витамин D (Vitamin D total)</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Vitamin D total 07464215190 для анализаторов Elecsys cobas e 100 определений. Предназначен для количественного определения общего 25-гидроксивитамина D в сыворотке и плазме крови человека. Данный тест также можно использовать для оценки достаточности витамина D в организме. На упаковке с основными реагентами (M, R1, R2) и на реагентах для предварительной обработки (PT1, PT2) наклеена этикетка VITD T. PT1 Реагент 1 для предварительной обработки (крышка белого цвета), 1 флакон, 4 мл: Дитиотреитол 1 г/л, pH 5.5. PT2 Реагент 2 для предварительной обработки (крышка серого цвета), 1 флакон, 4 мл: Натрия гидроксид 55 г/л. M Микрочастицы, покрытые стрептавидином (прозрачная крышка), 1 флакон, 6.5 мл: Микрочастицы, покрытые стрептавидином, 0.72 мг/мл; консервант. R1 Витамин-D-связывающий белок-BPRu (крышка серого цвета), 1 флакон, 9 мл: Меченый рутением витамин-D-связывающий белок (150 мкг/л); бис-трис пропановый буфер 200 ммоль/л; альбумин (человека) 25 г/л; рН 7.5; консервант. R2 25-гидроксивитамин D~биотин (крышка черного цвета), 1 флакон, 8.5 мл: Биотинилированный витамин D (25-OH) (14 мкг/л); бис-трис пропановый буфер 200 ммоль/л; pH 8.6; консервант. Условия хранения: в неоткрытом виде при 2 8 °C До конца срока годности</w:t>
            </w:r>
          </w:p>
        </w:tc>
      </w:tr>
      <w:tr w:rsidR="00962403" w:rsidRPr="00962403" w:rsidTr="00962403">
        <w:trPr>
          <w:trHeight w:val="16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25</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Калибратор Паратиреоидныйгормон (PTH CS)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Калибровочный набор Паратиреоидный гормон (PTH CS)  08243875190 предназначен для калибровки количественного анализа Elecsys PTH для опеределения интактного ПТГ (паратиреоидного гормона) на иммунохимических анализаторах Elecsys и cobas e. PTH Cal1: 2 флакона, каждый по 1.0 мл калибратора 1 ▪ PTH Cal2: 2 флакона, каждый по 1.0 мл калибратора 2 ПТГ (синтетический пептид, человеческая последовательность) в двух диапазонах концентрации (приблизительно 1 пмоль/л или 10 пг/мл и приблизительно 466 пмоль/л или 4400 пг/мл) в матрице из человеческой сыворотки; консервант. Хранить при 2 8 °C. Лиофилизированная контрольная сыворотка стабильна до указанного срока годности</w:t>
            </w:r>
          </w:p>
        </w:tc>
      </w:tr>
      <w:tr w:rsidR="00962403" w:rsidRPr="00962403" w:rsidTr="00962403">
        <w:trPr>
          <w:trHeight w:val="19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26</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Пролактин (Prolactin)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Пролактин (Prolactin)  03203093190для анализаторов Cobas e, Elecsys на 100 тестов. Назначение: Предназначен для количественного определения пролактина в сыворотке и плазме крови человека. Реагенты и рабочие растворы: На упаковке с основными реагентами наклеена этикетка PRL II. M Микрочастицы, покрытые стрептавидином (прозрачная крышка), 1 флакон, 6.5 мл: Микрочастицы, покрытые стрептавидином, 0.72 мг/мл; консервант. R1 Анти-пролактин-антитела~биотин (серая пробка), 1 флакон, 10 мл: Биотинилированные моноклональные анти-пролактин-антитела (мыши) 0.7 мг/л; фосфатный буфер 50 ммоль/л, рН 7.0; консервант. R2 Анти-пролактин-антитела~Ru(bpy) (черная крышка), 1 флакон, 10 мл: Моноклональные анти-пролактин антитела (мыши), меченные рутениевым комплексом 0.35 мг/л; фосфатный буфер 50 ммоль/л, pH 7.0; консервант. Условия хранения: в неоткрытом виде при 2 8 °C До конца срока годности</w:t>
            </w:r>
          </w:p>
        </w:tc>
      </w:tr>
      <w:tr w:rsidR="00962403" w:rsidRPr="00962403" w:rsidTr="00962403">
        <w:trPr>
          <w:trHeight w:val="125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27</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кол-го определения ДНК вируса гепатита B (HBV-Монитор-FL)</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«АмплиСенс HBV-Монитор-FL» предназначен для количественного определения ДНК вируса гепатита B (HBV) в клиническом материале методом полимеразной цепной реакции (ПЦР) с гибридизационнофлуоресцентной детекцией в режиме «реального времени». Материалом для проведения ПЦР служат пробы ДНК, выделенные из плазмы крови. предназначена для проведения полного ПЦР-исследования, включающего экстракцию ДНК из клинического материала методом преципитации и амплификацию ДНК с гибридизационно-флуоресцентной детекцией в режиме «реального времени». включает комплекты реагентов «РИБО-преп».Реагенты диагностические in vitro на приборе для проведения ПЦР в режиме реального времени Rotor–Gene Q</w:t>
            </w:r>
          </w:p>
        </w:tc>
      </w:tr>
      <w:tr w:rsidR="00962403" w:rsidRPr="00962403" w:rsidTr="00962403">
        <w:trPr>
          <w:trHeight w:val="237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28</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выявления РНК вируса гепатита C (HCV) в</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«АмплиСенс HCV-FL» R-V1-Mod(RG,iQ,Mx,Dt) предназначен для выявления РНК вируса гепатита C (HCV) в клиническом материале методом полимеразной цепной реакции (ПЦР) с гибридизационно-флуоресцентной детекцией. Материалом для проведения ПЦР служат пробы РНК, выделенные из плазмы крови. Принцип тестирования основывается на экстракции РНК из плазмы крови совместно с ВКО, проведении реакции обратной транскрипции РНК и амплификации кДНК с гибридизационнофлуоресцентной детекцией по «конечной точке» (формат FEP) или в режиме «реального времени» (формат FRT). По каналу, соответствующему флуорофору FAM, детектируется продукт амплификации ВКО. По каналу, соответствующему флуорофору JOE, детектируется продукт амплификации кДНК HCV. Положительный контрольный образец этапа экстракции ПКО-1- HCV детектируется по каналам, соответствующим флуорофорам FAM (ВКО) и JOE (HCV). Контрольный образец амплификации – KB2 HCV – является комплексным для HCV и ВКО и аналогично детектируется по каналам, соответствующим флуорофорам FAM (ВКО) и JOE (HCV). Количество тестов: 112 .Реагенты диагностические in vitro на приборе для проведения ПЦР в режиме реального времени Rotor–Gene Q.</w:t>
            </w:r>
          </w:p>
        </w:tc>
      </w:tr>
      <w:tr w:rsidR="00962403" w:rsidRPr="00962403" w:rsidTr="00962403">
        <w:trPr>
          <w:trHeight w:val="154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29</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кол-го определения РНК вируса гепатита C (HCV-Монитор FL</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количественного определения РНК вируса гепатита C (HCV-Монитор FL) в клиническом материале методом полимеразной цепной реакции (ПЦР) с гибридизационно-флуоресцентной детекцией в режиме "реального времени"  Rotor–Gene Q. Номер по каталогу: TR-V1-P-M (RG,iQ,Мх,Dt) Количество тестов: 50. Метод детекции: FRT. Комплектация: Полный набор реагентов. Фасовка: Флаконы с реагентами, Taq-F полимераза Форма: вариант FRT, 50F, полная комплектация. Материалом для проведения ПЦР служат пробы РНК, выделенные из плазмы крови. включает комплекты реагентов «РИБО-преп»</w:t>
            </w:r>
          </w:p>
        </w:tc>
      </w:tr>
      <w:tr w:rsidR="00962403" w:rsidRPr="00962403" w:rsidTr="00962403">
        <w:trPr>
          <w:trHeight w:val="113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30</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определения ДНК вируса простого герпеса  и цитомегаловируса (HSV/CMV)</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определения ДНК вируса простого герпеса (HSV) и цитомегаловируса (CMV) в клиническом материале методом полимеразной цепной реакции (ПЦР) с гибридизационно-флуоресцентной детекцией в режиме "реального времени", для диагностики in vitro «АмплиПрайм® HSV/CMV R-V60 Мультипрайм-FL 110t Реагенты диагностические in vitro на приборе для проведения ПЦР в режиме реального времени Rotor–Gene Q</w:t>
            </w:r>
          </w:p>
        </w:tc>
      </w:tr>
      <w:tr w:rsidR="00962403" w:rsidRPr="00962403" w:rsidTr="00962403">
        <w:trPr>
          <w:trHeight w:val="28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31</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для кол-го определения альдеостерона</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Набор для количественного определения альдеостерона /749-8600, 96/DBC в сыворотке крови методои ИФА анализа, для использования на анализаторе "Alisei Quality system" . Принцип действия следует типичному сценарию конкурентной приязки.Конкуренция происходит между  немаркированным антигеном и фермент -меченым антигеном для ограниченного числа сайтов  связывания антител на пластине  микроядер. Промывка удаляет  несвязанные материалы.После  этапа промывки добавляют  ферментный субстрат. Ферментативная реакция прекращается добавлением  останавливающего раствора. Поглощение измеряется на считывателе микротитры. Интенсивность образуемого цвета обратно пропорциональна концентрации альдостерона в образце. Набор стандартов используется для построения кривой станадарта, из которой количество альдостерона в  образцах пациентов и контроле может быть непосредственно прочитано. Реагент представляет: 1. анти-альдостерон кролика покрытая пластиной. Содержание-96 пластин в запаенном мешочке,хранение 2-8С, втечении 12 мес: 2. Альдостерон-Биотин: коньюгированный концентрат,объем 300мл,препарат разбавляют буфером 1:50 перед применением. 3 Альдостерон калибратор . 4. Контроль.5 . Концентрат буфера для мытья- разбавить 1:10 в дистиллированной воде. 6. Буфер7.TMB подложка 8.Стоп раствор. </w:t>
            </w:r>
          </w:p>
        </w:tc>
      </w:tr>
      <w:tr w:rsidR="00962403" w:rsidRPr="00962403" w:rsidTr="00962403">
        <w:trPr>
          <w:trHeight w:val="125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32</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определения антител к митохондриям (АМА-М2)</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определения антител к митохондриям (АМА-М2) 96, 516 ORGENTEC  предназначен для количественного определения IgG-антител к митохондриальному антигену M2 субтипа в образцах человеческой сыворотки или плазмы крови методом иммуноферментного анализа для использования</w:t>
            </w:r>
            <w:r w:rsidRPr="00962403">
              <w:rPr>
                <w:rFonts w:ascii="Times New Roman" w:hAnsi="Times New Roman"/>
                <w:b/>
                <w:bCs/>
                <w:color w:val="000000"/>
                <w:sz w:val="18"/>
                <w:szCs w:val="18"/>
              </w:rPr>
              <w:t xml:space="preserve"> на анализаторе "Alisei Quality system"</w:t>
            </w:r>
            <w:r w:rsidRPr="00962403">
              <w:rPr>
                <w:rFonts w:ascii="Times New Roman" w:hAnsi="Times New Roman"/>
                <w:color w:val="000000"/>
                <w:sz w:val="18"/>
                <w:szCs w:val="18"/>
              </w:rPr>
              <w:t xml:space="preserve">   с целью диагностики первичного билиарного цирроза.Антигены: высокоочищенные M2 белки (PDC-E2, BCOADC-E2, OGDC-E2). Диапазон измерения: 1-200 Е/мл.</w:t>
            </w:r>
            <w:r w:rsidRPr="00962403">
              <w:rPr>
                <w:rFonts w:ascii="Times New Roman" w:hAnsi="Times New Roman"/>
                <w:color w:val="000000"/>
                <w:sz w:val="18"/>
                <w:szCs w:val="18"/>
              </w:rPr>
              <w:br/>
              <w:t>Чувствительность: 1 Е/мл</w:t>
            </w:r>
          </w:p>
        </w:tc>
      </w:tr>
      <w:tr w:rsidR="00962403" w:rsidRPr="00962403" w:rsidTr="00962403">
        <w:trPr>
          <w:trHeight w:val="119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33</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Набор реагентов для определения антифосфолипид скрининга IgG/IgM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определения антифосфолипид скрининга IgG/IgM  ORG529, Orgentec  (определение суммарного количества антител к кардиолипину, фосфатидилсерину, фосфатидилинозитолу, фосфатидиловой кислоте) методом иммуноферментного анализа для использования на анализаторе "Alisei Quality system" и с целью диагностики первичного и вторичного антифосфолипидного синдрома. Диапазон измерения: для IgG 0.5-100 GPL Е/мл, для IgM 0.5-100 MPL Е/мл.Чувствительность: для IgG 0.5 GPL Е/мл, для IgM 0.5 MPL Е/мл.</w:t>
            </w:r>
          </w:p>
        </w:tc>
      </w:tr>
      <w:tr w:rsidR="00962403" w:rsidRPr="00962403" w:rsidTr="00962403">
        <w:trPr>
          <w:trHeight w:val="93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34</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«Гемолитик»</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 «ГЕМОЛИТИК» предназначен для селективного лизиса эритроцитов крови при предобработке клинического материала (цельной периферической и пуповинной крови). Принцип метода основан на действии осмотического давления на клетки крови. Раствор гемолитика является гипотоническим по отношению к эритроцитам, и осмотическое давление приводит к разрыву клеточной мембраны.Реагенты диагностические in vitro на приборе для проведения ПЦР в режиме реального времени Rotor–Gene Q</w:t>
            </w:r>
          </w:p>
        </w:tc>
      </w:tr>
      <w:tr w:rsidR="00962403" w:rsidRPr="00962403" w:rsidTr="00962403">
        <w:trPr>
          <w:trHeight w:val="270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35</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Набор реагентов для выявления ДНК вируса гепатита B (HBV)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Набор реагентов «АмплиСенс HBV-FL» -V5-Mod(RG,iQ,Mx,Dt) предназначен для выявления ДНК вируса гепатита B (HBV) в клиническом материале методом полимеразной цепной реакции (ПЦР) Реагенты диагностические in vitro на приборе для проведения ПЦР в режиме реального времени </w:t>
            </w:r>
            <w:r w:rsidRPr="00962403">
              <w:rPr>
                <w:rFonts w:ascii="Times New Roman" w:hAnsi="Times New Roman"/>
                <w:b/>
                <w:bCs/>
                <w:color w:val="000000"/>
                <w:sz w:val="18"/>
                <w:szCs w:val="18"/>
              </w:rPr>
              <w:t>Rotor–Gene Q</w:t>
            </w:r>
            <w:r w:rsidRPr="00962403">
              <w:rPr>
                <w:rFonts w:ascii="Times New Roman" w:hAnsi="Times New Roman"/>
                <w:color w:val="000000"/>
                <w:sz w:val="18"/>
                <w:szCs w:val="18"/>
              </w:rPr>
              <w:t xml:space="preserve">. Материалом для проведения ПЦР служат пробы ДНК, выделенные из плазмы крови. Принцип тестирования основывается на экстракции ДНК из плазмы крови совместно с ВКО и проведении амплификации ДНК с гибридизационно-флуоресцентной детекцией «по конечной точке» (формат FEP) или в режиме «реального времени» (формат FRT). По каналу, соответствующему флуорофору FAM, детектируется продукт амплификации ВКО. По каналу, соответствующему флуорофору JOE, детектируется продукт амплификации ДНК HBV. Положительный контрольный образец этапа экстракции ПКО-1-HBV детектируется по каналам соответствующим флуорофорам FAM (ВКО) и JOE 1 Контрольный образец амплификации – KB2 HBV является комплексным для HBV и ВКО и аналогично детектируется по каналам соответствующим флуорофорам FAM (ВКО) и JOE (HBV). Количество тестов: 112 </w:t>
            </w:r>
          </w:p>
        </w:tc>
      </w:tr>
      <w:tr w:rsidR="00962403" w:rsidRPr="00962403" w:rsidTr="00962403">
        <w:trPr>
          <w:trHeight w:val="12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36</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Комплект реагентов для выделения (экстракции) ДНК-сорб-АМ</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Комплект реагентов ДНК-сорб-АМ предназначен для выделения (экстракции) ДНК из соскобного материала и отделяемого слизистых оболочек урогенитального тракта, ротоглотки, прямой кишки, конъюнктивы глаз, эрозивно-язвенных элементов слизистых и кожи, а также из образцов мочи человека для последующего исследования на возбудители ИППП и других инфекций органов репродукции методам ПЦР. Реагенты диагностические in vitro на приборе для проведения ПЦР в режиме реального времени Rotor–Gene Q</w:t>
            </w:r>
          </w:p>
        </w:tc>
      </w:tr>
      <w:tr w:rsidR="00962403" w:rsidRPr="00962403" w:rsidTr="00962403">
        <w:trPr>
          <w:trHeight w:val="155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sz w:val="18"/>
                <w:szCs w:val="18"/>
              </w:rPr>
            </w:pPr>
            <w:r w:rsidRPr="00962403">
              <w:rPr>
                <w:rFonts w:ascii="Times New Roman" w:hAnsi="Times New Roman"/>
                <w:sz w:val="18"/>
                <w:szCs w:val="18"/>
              </w:rPr>
              <w:t>37</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sz w:val="18"/>
                <w:szCs w:val="18"/>
              </w:rPr>
            </w:pPr>
            <w:r w:rsidRPr="00962403">
              <w:rPr>
                <w:rFonts w:ascii="Times New Roman" w:hAnsi="Times New Roman"/>
                <w:sz w:val="18"/>
                <w:szCs w:val="18"/>
              </w:rPr>
              <w:t>Кассета С реактивный белок CRPLX / CRP4</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sz w:val="18"/>
                <w:szCs w:val="18"/>
              </w:rPr>
            </w:pPr>
            <w:r w:rsidRPr="00962403">
              <w:rPr>
                <w:rFonts w:ascii="Times New Roman" w:hAnsi="Times New Roman"/>
                <w:sz w:val="18"/>
                <w:szCs w:val="18"/>
              </w:rPr>
              <w:t xml:space="preserve">Кассета С реактивный белок CRPLX/ CRP4 (C- Reactive Protein (Latex) 07876033190 на 250 тестов.  Назначение: Набор для in vitro диагностики. Предназначен для количественного иммунологического определения С реактивного белка в сыворотке и плазме крови человека на анализаторах Cobas Integra. Реагенты - рабочие растворы: R1 ТРИС-буфер с альбумином бычьей сыворотки и иммуноглобулинами (мышиными); консервант SR Частицы латекса, покрытые анти СРБ (мышиным) в глициновом буфере; консервант R1 находится в положении B, SR – в положении C. Срок хранения при 2 8 °C: См. срок годности на упаковке кассеты cobas c pack. Срок хранения вскрытого реагента в холодильнике на борту анализатора: 12 недель </w:t>
            </w:r>
          </w:p>
        </w:tc>
      </w:tr>
      <w:tr w:rsidR="00962403" w:rsidRPr="00962403" w:rsidTr="00962403">
        <w:trPr>
          <w:trHeight w:val="168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38</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гамма-Глутамилтрансфераза GGT-2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гамма-Глутамилтрансфераза GGT-2 (gamma-Glutamyltransferase) 03002721122  для анализаторов Cobas Integra на 400 тестов. Назначение: Тест для диагностики in vitro, предназначенный для количественного определения каталитической активности ГГТП (EC 2.3.2.2; γ глутамил пептид: аминокислота γ глутамилтрансфераза) в человеческой сыворотке и плазме на анализаторах Cobas.  Реагенты и рабочие растворы: R1 ТРИС: 492 ммоль/л, pH 8.25; глицилглицин: 492 ммоль/л; консервант; добавки SR L γ глутамил 3 карбокси 4 нитроанилид: 22.5 ммоль/л; ацетат: 10 ммоль/л, pH 4.5; стабилизаторы, консерванты R1 находится в позиции B, SR — в позиции C. Условия хранения: Срок хранения при 2 8 °C: См. срок годности на упаковке кассеты cobas c pack Система Cobas 400 plus При использовании на борту анализатора при 10 15 °C 12 недель</w:t>
            </w:r>
          </w:p>
        </w:tc>
      </w:tr>
      <w:tr w:rsidR="00962403" w:rsidRPr="00962403" w:rsidTr="00962403">
        <w:trPr>
          <w:trHeight w:val="97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39</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общий белок мочи/ЦСЖ TPUC</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Кассета общий белок мочи/ЦСЖ TPUC 03333825190 на 150 тестов.Назначение: Тест для диагностики in vitro, предназначенный для количественного определения концентрации общего белка в моче и спинномозговой жидкости человека на анализаторах Cobas Integra. Реагенты - рабочие растворы: R1 Гидроксид натрия: 677 ммоль/л; Na ЭДТК: 74 ммоль/л SR Бензетония хлорид: 32 ммоль/л R1 находится в позиции B, SR – в позиции C. Условия хранения: Срок годности при 15 25 °C См. срок годности на этикетке кассеты. При использовании на борту анализатора при 10 15 °C 12 недели. </w:t>
            </w:r>
          </w:p>
        </w:tc>
      </w:tr>
      <w:tr w:rsidR="00962403" w:rsidRPr="00962403" w:rsidTr="00962403">
        <w:trPr>
          <w:trHeight w:val="30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40</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Ревматоидный фактор II (RF-II)</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Кассета Ревматоидный фактор II RF-I 20764574322 на 100 тестов. Назначение: Набор для in vitro диагностики. Предназначен для количественного определения ревматоидного фактора (RF II) в сыворотке и плазме крови человека на анализаторах Roche/Hitachi cobas c. Измерения могут быть использованы в качестве помощи при диагностике ревматоидного артрита. Реагенты и рабочие растворы:R1 Глициновый буфер: 170 ммоль/л, рН 8.0; полиэтиленгликоль: 0.05 %; альбумин сыворотки бычьей крови; стабилизатор; консервантR2 Латексные частицы, покрытые IgG человека; буферный раствор глицина: 170 ммоль/л, pH 7.3; стабилизаторы, консерванты R1 находится в позиции B, R2 — в позиции C Условия хранения:Хранить при 2 8 °C:</w:t>
            </w:r>
          </w:p>
        </w:tc>
      </w:tr>
      <w:tr w:rsidR="00962403" w:rsidRPr="00962403" w:rsidTr="00962403">
        <w:trPr>
          <w:trHeight w:val="75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41</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Базовая программа по внешней оценки качества 4 в 1 (Биохимия, Гематология, Коагулометрия, ИФА)</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В набор базовых программ внешней оценки качества должно входить: - биохимические исследование на 12 месяцев, с отчетностью каждый месяц. Общий комплект поставки 12 флаконов не менее 5 мл в каждом. Старт программы январь 2023 год до декабря 2023 года. Поставка 2 раза в год по 6 флаконов в каждой поставки. Образцы контрольной сыворотки должны быть лиофилизированные и упакованы вакуумом, из 100% человеческой сыворотки. Количество аналитов тестирования для клинической химии должна быть не менее 56 параметров (ACE; Кислая фосфатаза (простатическая); Кислая фосфатаза (общая); Скорректированный кальций; Альбумин; ALP; АЛТ (АЛАТ); Амилаза (панкреатическая); Амилаза (общая); AST; Бикарбонат; Желчные кислоты; Билирубин прямой; Билирубин общий; Кальций ионизированный; Кальций (общий); Хлористый; Холинэстаз; UIBC (ненасыщенная железосвязывающая способность); Холестерин; CK, всего (CPK); Медь; Креатинин; D-3-гидроксибутират; EGFR ; Фруктозамин; свободный T3; свободный T4; Гамма GT; GLDH; Глюкоза; HBDH; ЛПВП-холестерин; Железо; Лактат; LD (LDH); Холестерин ЛПНП *; Липаза; Литий; Магний, NEFA (неэстерифицированных жирных кислот) ; Холестерин не-ЛПВП *; Осмолярность; Фосфат неорганический; Калий; Белок, общий; PSA; Натрий$ TIBC; общий Т3; общий Т4; Триглицериды; TSH; Мочевина; Мочевая кислота; Цинк. - гематологические исследование на 12 месяцев с отчетностью каждый месяц. Общий комплект поставки 12 флаконов не менее 2 мл в каждом. Старт программы январь 2023 год до декабря 2023 года. Поставка 4 раза в год по 3 флакона в каждой поставки. Образцы контрольной сыворотки должны быть жидкими и готовыми к использованию из 100% человеческой крови. Количество аналитов тестирования для гематологического исследования должно быть не менее 11 Параметры: Haemoglobin (Hb), Mean Cell Volume (MCV), MCHC, RBC, Mean Platelet Volume, Plateletcrit, HCT, MCH, PLT, WBC, Red Cell Dist. Width. - иммунологические исследования на 12 месяцев с отчетностью каждый месяц. Общий комплект поставки 12 флаконов не менее 5 мл в каждом. Старт программы январь 2023 год до декабря 2023 года. Поставка 2 раза в год по 6 флаконов в каждой поставки. Образцы контрольной сыворотки должны быть лиофилизированные и упакованы вакуумом, из 100% человеческой крови. Количество аналитов тестирования для иммунологических исследований должен быть не менее 51 Параметры: 1-25-OH-Vitamin D (Pilot), 17-OH-progesterone 25-OH-Vitamin D, ACTH, AFP, Aldosterone, Amikacin, Androstenedione, B-2-Microglobulin, CA125, CA15-3, CA19-9, Carbamazepin, Digoxin, Total (Pilot), Ferritin, Folate, Free T3, Free T4, Free testosterone (Pilot), FSH, Gentamicin, GH, hCG, IgE, Insulin, LH, Oestradiol Paracetamol, Parathyroid Hormone, Phenobarbital, Phenytoin, Progesterone, Prolactin, PSA, PSA, Free, Salicylate, Sex Hormone Binding Globulin (SHBG), T3, T4, Testosterone, Theophylline, TSH, Valproic acid, Vancomycin, Vitamin B12. - для коагулометрических исследований на 12 месяцев, старт программы январь 2023 г. Окончание программы декабрь 2023 г. с отчетностью каждый месяц. Общий комплект поставки 12 флаконов не менее 1 мл каждый. Поставка 2 раза в год по 6 флаконов. Образцы контрольной сыворотки должны быть лиофилизированные и упакованы вакуумом. Количество аналитов тестирования для гемостаза должен быть не менее 17 Параметры: aPTT, ATIII, D-Dimer (Pilot), Factor II, Factor IX, Factor V, Factor VII, Factor VIII, Factor X, Factor XI, Factor XII, Fibrinogen, Plasminogen, Protein C, Protein S, PT, TT. 100% человеческая кровь.</w:t>
            </w:r>
          </w:p>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Каждый флакон с контрольной сывороткой должен быть промаркирован номером в соответствии с номера тестирования образца согласно графика измерений. Предоставление отчета по результатам измерение не позднее 48 часов после финальной даты измерения. Отчет по каждому образцу должен включать: - статистическую обработку результата по всем методам, по методу участника, по группе анализаторов; - график Шухарта;- график Леви-Дженнингса;- график контрольной оценки;- график отклонения% по образцу;- график отклонения% по концентрации; - статистический раздел по всем методам, тестируют каждый аналит.</w:t>
            </w:r>
            <w:r w:rsidRPr="00962403">
              <w:rPr>
                <w:rFonts w:ascii="Times New Roman" w:hAnsi="Times New Roman"/>
              </w:rPr>
              <w:t xml:space="preserve"> </w:t>
            </w:r>
            <w:r w:rsidRPr="00962403">
              <w:rPr>
                <w:rFonts w:ascii="Times New Roman" w:hAnsi="Times New Roman"/>
                <w:color w:val="000000"/>
                <w:sz w:val="18"/>
                <w:szCs w:val="18"/>
              </w:rPr>
              <w:t>RQ9128</w:t>
            </w:r>
          </w:p>
          <w:p w:rsidR="00962403" w:rsidRPr="00962403" w:rsidRDefault="00962403" w:rsidP="00924FFF">
            <w:pPr>
              <w:rPr>
                <w:rFonts w:ascii="Times New Roman" w:hAnsi="Times New Roman"/>
                <w:sz w:val="18"/>
                <w:szCs w:val="18"/>
              </w:rPr>
            </w:pPr>
            <w:r w:rsidRPr="00962403">
              <w:rPr>
                <w:rFonts w:ascii="Times New Roman" w:hAnsi="Times New Roman"/>
                <w:color w:val="000000"/>
                <w:sz w:val="18"/>
                <w:szCs w:val="18"/>
              </w:rPr>
              <w:t>Регистрация лаборатории и отправка результатов должна быть через интернет-сайт. Обеспечить конфиденциальность информации по статистической обработке результатов контроля качества. Система контроля качества должна быть аккредитована по ISO / IEC 17043. По окончанию всех проб выдается по каждому ввиду исследования международный сертификат о прохождении внешней оценки качества.</w:t>
            </w:r>
          </w:p>
        </w:tc>
      </w:tr>
      <w:tr w:rsidR="00962403" w:rsidRPr="00962403" w:rsidTr="00962403">
        <w:trPr>
          <w:trHeight w:val="338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42</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 внешний. Программа для иследования  Гликированного гемоглобина  (HbA1) на 12 мес</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1. Набор контрольных сывороток для внешней оценки качества исследований гликированного гемоглобина 12 месяцев (12 флаконов). Старт программы январь 2023, окончание цикла декабрь 2023.</w:t>
            </w:r>
          </w:p>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2. Объем контрольной сыворотки не менее 0.5 мл во флаконе; Поставка 2 раза в год по 6 флаконов в каждой поставки; 3. Образцы контрольной сыворотки  должны быть лиофилизированные; 4. Измерение образцов 1 раз в месяц и предоставления статистических отчетов по каждому образцу. 5. Каждый флакон с контрольной сывороткой должен быть промаркирован номером в соответствии с номера тестирования образца согласно графика измерений. 6. Предоставление отчета по результатам измерение не позднее 48 часов после финальной даты измерения. 7. Возможность тестирования нескольких анализаторов одновременно без дополнительной оплаты 8. Количество аналитов тестирования должна быть не менее 2: Гликозилированный гемоглобин, общий гемоглобин. 9. Отчет по каждому образцу должен включать:</w:t>
            </w:r>
          </w:p>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статистическую обработку результата по всем методам, по методу участника, по группе анализаторов</w:t>
            </w:r>
          </w:p>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график Шухарта; - график Леви-Дженнингса; - график контрольной оценки; - график отклонения% по образцу; - график отклонения% по концентрации; - статистический раздел по всем методам, тестируют каждый аналит 10. Регистрация лаборатории и отправка результатов должна быть через интернет-сайт 11. Обеспечить конфиденциальность информации по статистической обработке результатов контроля качества 12. Система контроля качества должна быть аккредитована по ISO / IEC 17043 13.  RQ9129 Контрольные материалы должны иметь все разрешительные документы, которые требует законодательство Республики Казахстан 14. По окончанию всех проб выдается по каждому ввиду исследования международный сертификат о прохождении внешней оценки качества.</w:t>
            </w:r>
          </w:p>
        </w:tc>
      </w:tr>
      <w:tr w:rsidR="00962403" w:rsidRPr="00962403" w:rsidTr="00962403">
        <w:trPr>
          <w:trHeight w:val="326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43</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 внешний. Программа Общий анализ мочи ( на тест полосках).</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1. Набор контрольных сывороток внешней оценки качества для исследований мочи полосочным методом годовая, старт программы с января по декабрь 2023 года. 2. Объем контрольной сыворотки не менее 12 мл во флаконе, комплект состоит из 6 флаконов, поставка 2 раза в год по 3 флакона. 3. Образцы контрольной сыворотки должны быть жидкие готовые к использованию. 100% человеческая моча. 4. Измерение образцов 1 раз в два месяца и предоставления статистических отчетов по каждому образцу. 5. Каждый флакон с контрольной сывороткой должен быть промаркирован номером в соответствии с номера тестирования образца согласно графика измерений. 6. Предоставление отчета по результатам измерение не позднее 48 часов после финальной даты измерения. 7. Возможность тестирования нескольких анализаторов одновременно без дополнительной оплаты 8. Количество аналитов тестирования должна быть не менее 14 (Альбумин, Билирубин, Кровь, креатинин, глюкоза, ХГЧ, Кетоны, Лейкоциты, нитрит, pH, белка, Удельный вес, уробилиноген, галактоза) 9. Отчет по каждому образцу должен включать: - статистическую обработку результата по всем методам, по методу участника, по группе анализаторов - график Шухарта; - график Леви-Дженнингса; - график контрольной оценки; - график отклонения% по образцу; - график отклонения% по концентрации</w:t>
            </w:r>
          </w:p>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статистический раздел по всем методам, тестируют каждый аналит 10. Регистрация лаборатории и отправка результатов должна быть через интернет-сайт 11. Обеспечить конфиденциальность информации по статистической обработке результатов контроля качества 12. Система контроля качества должна быть аккредитована по ISO / IEC 17043. RQ9138 По окончанию всех проб выдается по каждому ввиду исследования международный сертификат о прохождении внешней оценки качества.</w:t>
            </w:r>
          </w:p>
        </w:tc>
      </w:tr>
      <w:tr w:rsidR="00962403" w:rsidRPr="00962403" w:rsidTr="00962403">
        <w:trPr>
          <w:trHeight w:val="29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44</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 внешний. Программа оценки качества для исследования Anti-SARS-CoV-2</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1. Набор контрольного материала внешней оценки качества для исследований ИФА\ ИФЛ на Anti-SARS-CoV-2 годовая, старт программы в сентябре 2023 года, окончание программы в август 2024 года. 2. Объем контрольной сыворотки не менее 0,5 мл во флаконе. Программа на 12 месяцев, 12 флаконов в цикле. Программа поддерживает как количественную, так и качественную отчетность. 3. Образцы контрольной сыворотки, 100% человеческая плазма, должны быть жидкая и готовая к работе.4. Измерение образцов 1 раз в месяц и предоставления статистических отчетов по каждому образцу. 5. Каждый флакон с контрольной сывороткой должен быть промаркирован номером в соответствии с номера тестирования образца согласно графика измерений. 6. Предоставление отчета по результатам измерение не позднее 48 часов после финальной даты измерения. 7. Возможность тестирования нескольких анализаторов одновременно без дополнительной оплаты 8. Количество аналитов тестирования должна быть не менее 3: IgM \ IgG \ общие антитела.9. Отчет по каждому образцу должен включать: - статистическую обработку результата по всем методам, по методу участника, по группе анализаторов - график Шухарта</w:t>
            </w:r>
          </w:p>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график Леви-Дженнингса; - график контрольной оценки; - график отклонения% по образцу; - график отклонения% по концентрации;- статистический раздел по всем методам, тестируют каждый аналит. 10. Регистрация лаборатории и отправка результатов должна быть через интернет-сайт; 11. Обеспечить конфиденциальность информации по статистической обработке результатов контроля качества 12. Система контроля качества должна быть аккредитована по ISO / IEC 17043 13.</w:t>
            </w:r>
            <w:r w:rsidRPr="00962403">
              <w:rPr>
                <w:rFonts w:ascii="Times New Roman" w:hAnsi="Times New Roman"/>
              </w:rPr>
              <w:t xml:space="preserve"> </w:t>
            </w:r>
            <w:r w:rsidRPr="00962403">
              <w:rPr>
                <w:rFonts w:ascii="Times New Roman" w:hAnsi="Times New Roman"/>
                <w:color w:val="000000"/>
                <w:sz w:val="18"/>
                <w:szCs w:val="18"/>
              </w:rPr>
              <w:t>RQ9193 После окончание программы выдается международный сертификат по прохождению внешней оценки качества.</w:t>
            </w:r>
          </w:p>
        </w:tc>
      </w:tr>
      <w:tr w:rsidR="00962403" w:rsidRPr="00962403" w:rsidTr="00962403">
        <w:trPr>
          <w:trHeight w:val="390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45</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 внешний. Программа по серологии (ВИЧ+ Гепатиты)</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spacing w:after="240"/>
              <w:rPr>
                <w:rFonts w:ascii="Times New Roman" w:hAnsi="Times New Roman"/>
                <w:color w:val="000000"/>
                <w:sz w:val="18"/>
                <w:szCs w:val="18"/>
              </w:rPr>
            </w:pPr>
            <w:r w:rsidRPr="00962403">
              <w:rPr>
                <w:rFonts w:ascii="Times New Roman" w:hAnsi="Times New Roman"/>
                <w:color w:val="000000"/>
                <w:sz w:val="18"/>
                <w:szCs w:val="18"/>
              </w:rPr>
              <w:t>1.Набор контрольного материала внешней оценки качества для серологических исследований на ВИЧ и Гепатит. Старт программы июль 2023 г. 2. Объем контрольной крови не более 1.8 мл., (24 флакона). Поставка 2 раза в год по 12 флаконов в каждой поставки.3. Измерение образцов каждые 2 недели и предоставления статистических отчетов по каждому образцу. 4. Каждый флакон с контрольной кровью должен быть промаркирован номером в соответствии с номера тестирования образца согласно графика измерений 5. Предоставление отчета по результатам измерение не позднее 48 часов после финальной даты измерения. 6. Возможность тестирования до пяти анализаторов одновременно без дополнительной оплаты 7. Количество параметров тестирования должна быть не менее 16: Анти-ВИЧ-1, Анти-HCV, Anti-HTLV-II, HBsAg, Анти-ВИЧ-2, Anti-HBc, Анти-HTLV-1 &amp; 2 (в сочетании), Анти-ВИЧ-1 и 2 (в сочетании), Anti-HTLV-I, Anti-CMV, Anti-HAV IgM, Anti-HAV (Total), Anti-HBc IgM, HBeAg, Anti-HBe (Total), Anti-HBs (Total) and P24 (антиген Вич) 8. Возможность представления значений в единицах измерения, используемых лаборатория, без пересчета. 9. Отчет по каждому образцу должен включать: - статистическую обработку результата по всем методам, по методу участника, по группе анализаторов - график Шухарта - график Леви-Дженнингса - график контрольной оценки - график отклонения% по образцу - график отклонения% по концентрации - статистический раздел по всем методам, тестируют каждый параметр - возможность предоставления (на выбор) качественного и количественного отчета. 10. Регистрация лаборатории и отправка результатов должна быть через интернет-сайт 11. Обеспечить конфиденциальность информации по статистической обработке результатов контроля качества за использования пароля доступа 12. Система контролю качества должна быть аккредитована по ISO / IEC 17043 RQ9151</w:t>
            </w:r>
          </w:p>
        </w:tc>
      </w:tr>
      <w:tr w:rsidR="00962403" w:rsidRPr="00962403" w:rsidTr="00962403">
        <w:trPr>
          <w:trHeight w:val="96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46</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 внешний.Газы крови/ Blood Gas Programme, 12фл*2,5</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1. Набор контрольных материалов внешней оценки качества для исследований газов крови годовая, старт программы в январе 2023 года, окончание программы в декабре 2023 года. 2. Объем контрольной плазмы во флаконе не более 1.8 мл, комплект 12 ампул на 12 месяцев. Поставка 2 раза в год по 6 амул в каждой поставки.  3. Измерение образцов 1 раз в месяц и предоставление статистических отчетов по каждому образцу. 4. Каждый флакон с контрольной плазмой должен быть промаркирован номером в соответствии с номером тестирования образца согласно графика измерений. 5. Предоставление отчета по результатам измерение не позднее 48 часов после финальной даты измерения. 7. Количество параметров тестирования должно быть не менее 10 (Ca++, Glucose, Lactate, pCO2, pO2, Cl-, K+, Na+, Ph, tCO2) 8. Возможность представления значений в единицах измерения, используемых лаборатория, без пересчета. 9. Отчет по каждому образцу должен включать:- статистическую обработку результата по всем методам, по методу участника, по группе анализаторов - график Шухарта; - график Леви-Дженнингса</w:t>
            </w:r>
          </w:p>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lastRenderedPageBreak/>
              <w:t>- график контрольной оценки; - график отклонения% по образцу; - график отклонения% по концентрации; - статистический раздел по всем методам, тестируют каждый параметр;10. Регистрация лаборатории и отправка результатов должна быть через интернет-сайт 11. Обеспечить конфиденциальность информации по статистической обработке результатов контроля качества за использования пароля доступа 12. Система контролю качества должна быть аккредитована по ISO / IEC 17043 13. RQ9134b После окончание программы выдается сертификат международный о прохождении внешней оценки качества.</w:t>
            </w:r>
          </w:p>
        </w:tc>
      </w:tr>
      <w:tr w:rsidR="00962403" w:rsidRPr="00A974C8" w:rsidTr="00962403">
        <w:trPr>
          <w:trHeight w:val="16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47</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Контрольная кровь для внутреннего контроля кач-ва "Гематология" 3-х уровневый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lang w:val="en-US"/>
              </w:rPr>
            </w:pPr>
            <w:r w:rsidRPr="00962403">
              <w:rPr>
                <w:rFonts w:ascii="Times New Roman" w:hAnsi="Times New Roman"/>
                <w:color w:val="000000"/>
                <w:sz w:val="18"/>
                <w:szCs w:val="18"/>
              </w:rPr>
              <w:t>Набор контроль гематологичсекий 3-х уровневый. Контрольный материал предназначен для внутреннего контроля качества, 3-х уровневый по гематологии. Включает в себя 45 параметров в которых предоставлены целевые значения для анализаторов Mindray 6600\6800, Sysmex XE-5000, XE-2100, XN 1000, XT-4000i, XS-1000i, XT-2000i, XT1800i.\ Sysmex XN-L Series Состоит из 100% цельной крови человека. Форма выпуска: жидкость готовая к использованию. Набор состоит из 6 флаконов по 4,5 мл каждый (по 2 флакона на каждый уровень). Для каждой партии предоставляется диапазон регулирования для отдельных параметров и метода каждого параметра. Стабильность</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открытого</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флакона</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в</w:t>
            </w:r>
            <w:r w:rsidRPr="00962403">
              <w:rPr>
                <w:rFonts w:ascii="Times New Roman" w:hAnsi="Times New Roman"/>
                <w:color w:val="000000"/>
                <w:sz w:val="18"/>
                <w:szCs w:val="18"/>
                <w:lang w:val="en-US"/>
              </w:rPr>
              <w:t xml:space="preserve"> </w:t>
            </w:r>
            <w:r w:rsidRPr="00962403">
              <w:rPr>
                <w:rFonts w:ascii="Times New Roman" w:hAnsi="Times New Roman"/>
                <w:color w:val="000000"/>
                <w:sz w:val="18"/>
                <w:szCs w:val="18"/>
              </w:rPr>
              <w:t>течение</w:t>
            </w:r>
            <w:r w:rsidRPr="00962403">
              <w:rPr>
                <w:rFonts w:ascii="Times New Roman" w:hAnsi="Times New Roman"/>
                <w:color w:val="000000"/>
                <w:sz w:val="18"/>
                <w:szCs w:val="18"/>
                <w:lang w:val="en-US"/>
              </w:rPr>
              <w:t xml:space="preserve"> 14 </w:t>
            </w:r>
            <w:r w:rsidRPr="00962403">
              <w:rPr>
                <w:rFonts w:ascii="Times New Roman" w:hAnsi="Times New Roman"/>
                <w:color w:val="000000"/>
                <w:sz w:val="18"/>
                <w:szCs w:val="18"/>
              </w:rPr>
              <w:t>дней</w:t>
            </w:r>
            <w:r w:rsidRPr="00962403">
              <w:rPr>
                <w:rFonts w:ascii="Times New Roman" w:hAnsi="Times New Roman"/>
                <w:color w:val="000000"/>
                <w:sz w:val="18"/>
                <w:szCs w:val="18"/>
                <w:lang w:val="en-US"/>
              </w:rPr>
              <w:t xml:space="preserve"> 2 °C – 8 °C. </w:t>
            </w:r>
            <w:r w:rsidRPr="00962403">
              <w:rPr>
                <w:rFonts w:ascii="Times New Roman" w:hAnsi="Times New Roman"/>
                <w:color w:val="000000"/>
                <w:sz w:val="18"/>
                <w:szCs w:val="18"/>
              </w:rPr>
              <w:t>Параметры</w:t>
            </w:r>
            <w:r w:rsidRPr="00962403">
              <w:rPr>
                <w:rFonts w:ascii="Times New Roman" w:hAnsi="Times New Roman"/>
                <w:color w:val="000000"/>
                <w:sz w:val="18"/>
                <w:szCs w:val="18"/>
                <w:lang w:val="en-US"/>
              </w:rPr>
              <w:t>: Basophils (BASO)* \ % Basophils (% BASO) \ BASO-X \ BASO –Y \DIFF-X \DIFF-Y \ Eosinophils (EOS) \% Eosinophils (%EOS) \ FSC-X \ Haematocrit (HCT) \ Haemoglobin (HGB) \ Haemopioetic Progenitor Cell (HPC) \ IMIDC \ IMIRF \Immature Granulocytes (IG) \% Immature Granulocytes (%IG) \Immature Myeloid Information (IMI) \Immature Platelet Fraction (IPF) \Lymphocytes (LYMPH) \% Lymphocytes (% LYMPH) \Mean Corpuscular Volume (MCV) \Mean Corpuscular Haemoglobin (MCH) \Mean Corpuscular Haemoglobin Concentration (MCHC) \Mean Platelet Volume (MPV)  \ Monocytes (MONO) \ % Monocytes (% MONO) \ Neutrophils (NEUT) \ % Neutrophils (% NEUT) \ Nucleated Red Blood Cells X (NRBC-X) \ Nucleated Red Blood Cells Y (NRBC-Y) \ Nucleated Red Blood Cells (NRBC)* \ % Nucleated Red Blood Cells (%NRBC) \ Platelet Distribution Width (PDW) \ Platelet Large Cell Ratio (P-LCR) \Plateletcrit (PCT) \ Platelets (PLT) \Platelets Optical Count (PLT-0) \ Red Blood Cells (RBC) \ Red Blood Cell X (RBC-X) \ Red Blood Cell Y (RBC-Y) \ Red Blood Cell Distribution Width CV (RDW-CV) \ Red Blood Cell Distribution Width SD (RDW-SD) \ Red Blood Cells Optical Count (RBC-O) \ White Blood Cells (WBC) \ White Blood Cells Differential (WBC-D)</w:t>
            </w:r>
          </w:p>
        </w:tc>
      </w:tr>
      <w:tr w:rsidR="00962403" w:rsidRPr="00962403" w:rsidTr="00962403">
        <w:trPr>
          <w:trHeight w:val="141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48</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Контрольный материал для внутреннего контроля качества "Гликированный гемоглобин ". Уровень 1 и 2, 2-х уровневый</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контроль к реагенту HbA1c гликированный гемоглобин (уровень 1 и уровень 2), контрольный материал предназначен для внутреннего контроля качества  для гликированного гемоглобина. Включает в себя 2 параметра в которых предоставлены целевые значения для анализаторов и\или методов. Состоит из 100% цельной крови человека. Форма выпуска: флакон с лиофилизатом. Набор состоит из 2 флаконов по 0,5 мл и 2 флакона по 0,5 мл каждый (1 и 2 уровень). Восстановленная стабильность до 28 дней при температуре от 2 °C до 8 °C. Параметры: HbA1c \ Total Haemoglobin</w:t>
            </w:r>
          </w:p>
        </w:tc>
      </w:tr>
      <w:tr w:rsidR="00962403" w:rsidRPr="00962403" w:rsidTr="00962403">
        <w:trPr>
          <w:trHeight w:val="252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49</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Контрольный материал для внутреннего контроля качества "Специфические белки Уровень 1.</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контроль для специфических белков, уровень 1. Контрольный материал предназначен для внутреннего контроля качества. Включает в себя 26 параметров в которых предоставлены целевые значения по методам. Состоит из 100% человеческой сыворотки. Форма выпуска: флакон с жидкостью которая готовая к использованию. Набор состоит из 3 флакона по 1 мл. Стабильность открытого флакона в течение 30 дней при температуре от 2 °C до 8 °C. Параметры: AFP \ Albumin \a-1-Antitrypsin \a-1-Acid Glycoprotein \a-2-Macroglobulin \ASO \Anti-thrombin III \b-2-Microglobulin \Ceruloplasmin \Complement C3 \Complement C4 \CRP \Haptoglobin \IgA \IgE \IgG \IgM \Kappa Light Chain \Lambda Light Chain \Lambda Light Chain (Free)* \Prealbumin (Transthyretin) \Serum Ferritin \RF \RBP \Total Protein \Transferrin</w:t>
            </w:r>
          </w:p>
        </w:tc>
      </w:tr>
      <w:tr w:rsidR="00962403" w:rsidRPr="00962403" w:rsidTr="00962403">
        <w:trPr>
          <w:trHeight w:val="196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50</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Контрольный материал для внутреннего контроля качества "Специфические белки " Уровень 2.</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контроль для специфических белков, уровень 2,PS2683. Контрольный материал предназначен для внутреннего контроля качества. Включает в себя 26 параметров в которых предоставлены целевые значения по методам. Состоит из 100% человеческой сыворотки. Форма выпуска: флакон с жидкостью которая готовая к использованию. Набор состоит из 3 флакона по 1 мл. Стабильность открытого флакона в течение 30 дней при температуре от 2 °C до 8 °C. Параметры: AFP \ Albumin \a-1-Antitrypsin \a-1-Acid Glycoprotein \a-2-Macroglobulin \ASO \Anti-thrombin III \b-2-Microglobulin \Ceruloplasmin \Complement C3 \Complement C4 \CRP \Haptoglobin \IgA \IgE \IgG \IgM \Kappa Light Chain \Lambda Light Chain \Lambda Light Chain (Free)* \Prealbumin (Transthyretin) \Serum Ferritin \RF \RBP \Total Protein \Transferrin</w:t>
            </w:r>
          </w:p>
        </w:tc>
      </w:tr>
      <w:tr w:rsidR="00962403" w:rsidRPr="00962403" w:rsidTr="00962403">
        <w:trPr>
          <w:trHeight w:val="156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51</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Контрольный материал для внутреннего контроля качества "Специфические белки " Уровень 3.</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контроль для специфических белков, уровень 3, PS2684. Контрольный материал предназначен для внутреннего контроля качества. Включает в себя 26 параметров в которых предоставлены целевые значения по методам. Состоит из 100% человеческой сыворотки. Форма выпуска: флакон с жидкостью которая готовая к использованию. Набор состоит из 3 флакона по 1 мл. Стабильность открытого флакона в течение 30 дней при температуре от 2 °C до 8 °C. Параметры: AFP \ Albumin \a-1-Antitrypsin \a-1-Acid Glycoprotein \a-2-Macroglobulin \ASO \Anti-thrombin III \b-2-Microglobulin \Ceruloplasmin \Complement C3 \Complement C4 \CRP \Haptoglobin \IgA \IgE \IgG \IgM \Kappa Light Chain \Lambda Light Chain \Lambda Light Chain (Free)* \Prealbumin (Transthyretin) \Serum Ferritin \RF \RBP \Total Protein \Transferrin</w:t>
            </w:r>
          </w:p>
        </w:tc>
      </w:tr>
      <w:tr w:rsidR="00962403" w:rsidRPr="00962403" w:rsidTr="00962403">
        <w:trPr>
          <w:trHeight w:val="437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52</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реагентов для иммуноферментного выявления Описторхоза-lgG-ИФА</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 xml:space="preserve">Набор реагентов для иммуноферментного выявления иммуноглобулинов класса G к антигенам описторхисов в сыворотке (плазме) крови. Характеристики набора: В ходе ИФА при взаимодействии исследуемых образцов сывороток (плазмы) крови в лунках стрипов с иммобилизованными антигенами описторхисов происходит связывание специфических антител и образование комплекса «антиген–антитело» на поверхности лунок. Количество определений: 96 определений (стрип), включая контроли. Объем анализируемого образца: 10 мкл. Аналитические и диагностические характеристики: В ряде случаев возможен перекрест иммунологических реакций при заболеваниях токсокарозом, трихинеллезом и эхинококкозом, что может быть связано как с совместной инвазией, так и со взаимодействием антител с гетерологичным антигеном за счет наличия общих антигенных компонентов.. Комплектация набора: планшет разборный с иммобилизованными антигенами описторхисов – 1 шт.; положительный контрольный образец (К+) – 1 фл., 1,5 мл; отрицательный контрольный образец (К–) – 1 фл., 2,5 мл; конъюгат моноклональных антител к IgG человека с пероксидазой хрена – 1 фл., 13 мл; концентрат фосфатно-солевого буферного раствора с твином (ФСБ-Т×25) – 1 фл., 28 мл; раствор для предварительного разведения сывороток (РПРС) – 1 фл., 10 мл; раствор для разведения сывороток (РРС) – 1 фл., 12 мл; раствор тетраметилбензидина (раствор ТМБ) – 1 фл., 13 мл; стоп-реагент – 1 фл., 12 мл; плёнка для заклеивания планшета – 2 шт.; пластиковая ванночка для реагентов – 2 шт.; наконечники для пипеток – 16 шт.; планшет для предварительного разведения исследуемых образцов – 1 шт.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 Срок годности: 12 месяцев,ИФА-Бест 12х8опр, 2952  </w:t>
            </w:r>
          </w:p>
        </w:tc>
      </w:tr>
      <w:tr w:rsidR="00962403" w:rsidRPr="00962403" w:rsidTr="00962403">
        <w:trPr>
          <w:trHeight w:val="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53</w:t>
            </w:r>
          </w:p>
        </w:tc>
        <w:tc>
          <w:tcPr>
            <w:tcW w:w="3402"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Промывочный раствор (Х5000)Триал</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Промывочный раствор  для анализатора "Аlisei" Триал  (х5000 концентрат), флакон не менее 20мл, для промывки внутренних магистралей  и  игл автоматического анализатора "Аlisei".Срок хранения  не менее 18 месяцев при +2…+8 С</w:t>
            </w:r>
          </w:p>
        </w:tc>
      </w:tr>
      <w:tr w:rsidR="00962403" w:rsidRPr="00962403" w:rsidTr="00962403">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54</w:t>
            </w:r>
          </w:p>
        </w:tc>
        <w:tc>
          <w:tcPr>
            <w:tcW w:w="3402" w:type="dxa"/>
            <w:tcBorders>
              <w:top w:val="nil"/>
              <w:left w:val="nil"/>
              <w:bottom w:val="single" w:sz="4" w:space="0" w:color="auto"/>
              <w:right w:val="single" w:sz="4" w:space="0" w:color="auto"/>
            </w:tcBorders>
            <w:shd w:val="clear" w:color="auto" w:fill="auto"/>
            <w:vAlign w:val="bottom"/>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Реагенты для определения  антител к ядерным и цитоплазматическим антигенам (ANA plus )</w:t>
            </w:r>
          </w:p>
        </w:tc>
        <w:tc>
          <w:tcPr>
            <w:tcW w:w="10348" w:type="dxa"/>
            <w:tcBorders>
              <w:top w:val="nil"/>
              <w:left w:val="nil"/>
              <w:bottom w:val="single" w:sz="4" w:space="0" w:color="auto"/>
              <w:right w:val="single" w:sz="4" w:space="0" w:color="auto"/>
            </w:tcBorders>
            <w:shd w:val="clear" w:color="auto" w:fill="auto"/>
            <w:vAlign w:val="center"/>
            <w:hideMark/>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Непрямой иммунофлуоресцентный анализ для определения антител к ядерным и цитоплазматическим антигенам (ANA) в сыворотке крови. Реагенты ANA plus 4065  для диагностики на анализаторе AKLIDES.</w:t>
            </w:r>
          </w:p>
        </w:tc>
      </w:tr>
      <w:tr w:rsidR="00962403" w:rsidRPr="00962403" w:rsidTr="00962403">
        <w:trPr>
          <w:trHeight w:val="1200"/>
        </w:trPr>
        <w:tc>
          <w:tcPr>
            <w:tcW w:w="704" w:type="dxa"/>
            <w:tcBorders>
              <w:top w:val="nil"/>
              <w:left w:val="single" w:sz="4" w:space="0" w:color="auto"/>
              <w:bottom w:val="single" w:sz="4" w:space="0" w:color="auto"/>
              <w:right w:val="single" w:sz="4" w:space="0" w:color="auto"/>
            </w:tcBorders>
            <w:shd w:val="clear" w:color="auto" w:fill="auto"/>
            <w:noWrap/>
            <w:vAlign w:val="center"/>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lastRenderedPageBreak/>
              <w:t>55</w:t>
            </w:r>
          </w:p>
        </w:tc>
        <w:tc>
          <w:tcPr>
            <w:tcW w:w="3402" w:type="dxa"/>
            <w:tcBorders>
              <w:top w:val="nil"/>
              <w:left w:val="nil"/>
              <w:bottom w:val="single" w:sz="4" w:space="0" w:color="auto"/>
              <w:right w:val="single" w:sz="4" w:space="0" w:color="auto"/>
            </w:tcBorders>
            <w:shd w:val="clear" w:color="auto" w:fill="auto"/>
            <w:vAlign w:val="center"/>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Набор экспресс- тест "ВИЧ 1/2"  для выявления антител к вирусу иммунодефицита человка 1/2 типа</w:t>
            </w:r>
          </w:p>
        </w:tc>
        <w:tc>
          <w:tcPr>
            <w:tcW w:w="10348" w:type="dxa"/>
            <w:tcBorders>
              <w:top w:val="nil"/>
              <w:left w:val="nil"/>
              <w:bottom w:val="single" w:sz="4" w:space="0" w:color="auto"/>
              <w:right w:val="single" w:sz="4" w:space="0" w:color="auto"/>
            </w:tcBorders>
            <w:shd w:val="clear" w:color="auto" w:fill="auto"/>
            <w:vAlign w:val="center"/>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Тест-система "HIV-1/2" -это набор для качественного иммунологического анализа in vitro на антитела к ВИЧ -1/ВИЧ-2 в сыворотке, плазме и цельной крови человека с визуальной оценкой результата. Кол-во в коробке 25шт.Тест - система предназначена для экспресс-выявления атител к ВИЧ-1/ВИЧ-2 у инфицированных лиц. Экспресс - тест на ВИЧ HIV-1/2 тест обладает гибкостью в использовании: в качестве исследуемого образца можно тестировать цельную кровь, сыворотку или плазму, используя капиллярную или венозную кровь. Эксперсс-тест на ВИЧ HIV-1/2 отличается простотой постановки и учета результата анализа: одношаговая процедура при использовании сыворотки/плазмы крови, или двухшаговая процедура при использовании цельной крови полволяют визуально определить по наличию или отсутствию окрашенной полосы в зоне чтения результата тест-полоски наличие или отсутствиеот пациента антител к ВИЧ в течение 15 минут. В комплекте: 1. буферный раствор для проведения анализа. 2 скарификатор. 3. кассета. 4. пипетка. 5. инструкция по применению</w:t>
            </w:r>
          </w:p>
        </w:tc>
      </w:tr>
      <w:tr w:rsidR="00962403" w:rsidRPr="00962403" w:rsidTr="00962403">
        <w:trPr>
          <w:trHeight w:val="2110"/>
        </w:trPr>
        <w:tc>
          <w:tcPr>
            <w:tcW w:w="704" w:type="dxa"/>
            <w:tcBorders>
              <w:top w:val="nil"/>
              <w:left w:val="single" w:sz="4" w:space="0" w:color="auto"/>
              <w:bottom w:val="single" w:sz="4" w:space="0" w:color="auto"/>
              <w:right w:val="single" w:sz="4" w:space="0" w:color="auto"/>
            </w:tcBorders>
            <w:shd w:val="clear" w:color="auto" w:fill="auto"/>
            <w:noWrap/>
            <w:vAlign w:val="center"/>
          </w:tcPr>
          <w:p w:rsidR="00962403" w:rsidRPr="00962403" w:rsidRDefault="00962403" w:rsidP="00924FFF">
            <w:pPr>
              <w:jc w:val="center"/>
              <w:rPr>
                <w:rFonts w:ascii="Times New Roman" w:hAnsi="Times New Roman"/>
                <w:color w:val="000000"/>
                <w:sz w:val="18"/>
                <w:szCs w:val="18"/>
              </w:rPr>
            </w:pPr>
            <w:r w:rsidRPr="00962403">
              <w:rPr>
                <w:rFonts w:ascii="Times New Roman" w:hAnsi="Times New Roman"/>
                <w:color w:val="000000"/>
                <w:sz w:val="18"/>
                <w:szCs w:val="18"/>
              </w:rPr>
              <w:t>56</w:t>
            </w:r>
          </w:p>
        </w:tc>
        <w:tc>
          <w:tcPr>
            <w:tcW w:w="3402" w:type="dxa"/>
            <w:tcBorders>
              <w:top w:val="nil"/>
              <w:left w:val="nil"/>
              <w:bottom w:val="single" w:sz="4" w:space="0" w:color="auto"/>
              <w:right w:val="single" w:sz="4" w:space="0" w:color="auto"/>
            </w:tcBorders>
            <w:shd w:val="clear" w:color="auto" w:fill="auto"/>
            <w:vAlign w:val="center"/>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Калибратор Антиген опухолевый 125 (CA 125 CS)</w:t>
            </w:r>
          </w:p>
        </w:tc>
        <w:tc>
          <w:tcPr>
            <w:tcW w:w="10348" w:type="dxa"/>
            <w:tcBorders>
              <w:top w:val="nil"/>
              <w:left w:val="nil"/>
              <w:bottom w:val="single" w:sz="4" w:space="0" w:color="auto"/>
              <w:right w:val="single" w:sz="4" w:space="0" w:color="auto"/>
            </w:tcBorders>
            <w:shd w:val="clear" w:color="auto" w:fill="auto"/>
            <w:vAlign w:val="center"/>
          </w:tcPr>
          <w:p w:rsidR="00962403" w:rsidRPr="00962403" w:rsidRDefault="00962403" w:rsidP="00924FFF">
            <w:pPr>
              <w:rPr>
                <w:rFonts w:ascii="Times New Roman" w:hAnsi="Times New Roman"/>
                <w:color w:val="000000"/>
                <w:sz w:val="18"/>
                <w:szCs w:val="18"/>
              </w:rPr>
            </w:pPr>
            <w:r w:rsidRPr="00962403">
              <w:rPr>
                <w:rFonts w:ascii="Times New Roman" w:hAnsi="Times New Roman"/>
                <w:color w:val="000000"/>
                <w:sz w:val="18"/>
                <w:szCs w:val="18"/>
              </w:rPr>
              <w:t>Калибровочный набор CA 125 II CalSet II 07030207190 предназначен для калибровки количественного анализа Elecsys CA 125 II на иммунохимических анализаторах Elecsys и cobas e. Реагенты и рабочие растворы: CA125 II Cal1: 2 флакона, каждый по 1.0 мл калибратора 1 ▪ CA125 II Cal2: 2 флакона, каждый по 1.0 мл калибратора 2 Концентрация человеческого CA 125 в лошадиной сывороточной матрице (CA125 II Cal1) составляет 0 Е/мл; CA125 II Cal2 содержит примерно 500 Е/мл человеческого CA 125 в человеческой сывороточной матрице; консервант. Условия хранения: Хранить при 2 8 °C. Лиофилизированная контрольная сыворотка стабильна до указанного срока годности.</w:t>
            </w:r>
          </w:p>
        </w:tc>
      </w:tr>
    </w:tbl>
    <w:p w:rsidR="00884E2F" w:rsidRDefault="00884E2F" w:rsidP="00C6424E">
      <w:pPr>
        <w:spacing w:after="0" w:line="240" w:lineRule="auto"/>
        <w:jc w:val="both"/>
        <w:rPr>
          <w:rFonts w:ascii="Times New Roman" w:hAnsi="Times New Roman"/>
          <w:sz w:val="20"/>
          <w:szCs w:val="20"/>
        </w:rPr>
      </w:pPr>
    </w:p>
    <w:p w:rsidR="00C6424E" w:rsidRPr="00E31458" w:rsidRDefault="00884E2F" w:rsidP="00BC724E">
      <w:pPr>
        <w:spacing w:after="0" w:line="240" w:lineRule="auto"/>
        <w:jc w:val="both"/>
        <w:rPr>
          <w:rFonts w:ascii="Times New Roman" w:hAnsi="Times New Roman"/>
          <w:sz w:val="20"/>
          <w:szCs w:val="20"/>
        </w:rPr>
      </w:pPr>
      <w:r>
        <w:rPr>
          <w:rFonts w:ascii="Times New Roman" w:hAnsi="Times New Roman"/>
          <w:sz w:val="20"/>
          <w:szCs w:val="20"/>
        </w:rPr>
        <w:t>Ц</w:t>
      </w:r>
      <w:r w:rsidR="00C6424E" w:rsidRPr="00E31458">
        <w:rPr>
          <w:rFonts w:ascii="Times New Roman" w:hAnsi="Times New Roman"/>
          <w:sz w:val="20"/>
          <w:szCs w:val="20"/>
        </w:rPr>
        <w:t xml:space="preserve">ена закупаемых товаров, перечень потенциальных поставщиков, представившие ценовые предложения в установленные сроки приведены в </w:t>
      </w:r>
      <w:r w:rsidR="00C6424E" w:rsidRPr="00E31458">
        <w:rPr>
          <w:rFonts w:ascii="Times New Roman" w:hAnsi="Times New Roman"/>
          <w:b/>
          <w:sz w:val="20"/>
          <w:szCs w:val="20"/>
        </w:rPr>
        <w:t>Приложении № 1</w:t>
      </w:r>
      <w:r w:rsidR="00C6424E" w:rsidRPr="00E31458">
        <w:rPr>
          <w:rFonts w:ascii="Times New Roman" w:hAnsi="Times New Roman"/>
          <w:sz w:val="20"/>
          <w:szCs w:val="20"/>
        </w:rPr>
        <w:t xml:space="preserve"> к настоящему Протоколу.</w:t>
      </w:r>
    </w:p>
    <w:p w:rsidR="00C6424E" w:rsidRPr="00E31458" w:rsidRDefault="00C6424E" w:rsidP="00BC724E">
      <w:pPr>
        <w:tabs>
          <w:tab w:val="left" w:pos="7485"/>
        </w:tabs>
        <w:spacing w:after="0" w:line="240" w:lineRule="auto"/>
        <w:jc w:val="both"/>
        <w:rPr>
          <w:rFonts w:ascii="Times New Roman" w:eastAsia="Calibri" w:hAnsi="Times New Roman"/>
          <w:sz w:val="20"/>
          <w:szCs w:val="20"/>
          <w:lang w:val="kk-KZ" w:eastAsia="en-US"/>
        </w:rPr>
      </w:pPr>
      <w:r w:rsidRPr="00E31458">
        <w:rPr>
          <w:rFonts w:ascii="Times New Roman" w:eastAsiaTheme="minorHAnsi" w:hAnsi="Times New Roman"/>
          <w:sz w:val="20"/>
          <w:szCs w:val="20"/>
          <w:lang w:val="kk-KZ" w:eastAsia="en-US"/>
        </w:rPr>
        <w:t>3.</w:t>
      </w:r>
      <w:r w:rsidRPr="00E31458">
        <w:rPr>
          <w:rFonts w:ascii="Times New Roman" w:eastAsia="Calibri" w:hAnsi="Times New Roman"/>
          <w:b/>
          <w:sz w:val="20"/>
          <w:szCs w:val="20"/>
          <w:lang w:val="kk-KZ" w:eastAsia="en-US"/>
        </w:rPr>
        <w:t xml:space="preserve"> </w:t>
      </w:r>
      <w:r w:rsidRPr="00E31458">
        <w:rPr>
          <w:rFonts w:ascii="Times New Roman" w:eastAsia="Calibri" w:hAnsi="Times New Roman"/>
          <w:sz w:val="20"/>
          <w:szCs w:val="20"/>
          <w:lang w:val="kk-KZ" w:eastAsia="en-US"/>
        </w:rPr>
        <w:t xml:space="preserve"> Потенциальные поставщики, присутствовавшие при процедуре вскрытия конвертов с ценовыми предложениями: </w:t>
      </w:r>
      <w:r w:rsidR="009845E5">
        <w:rPr>
          <w:rFonts w:ascii="Times New Roman" w:eastAsia="Calibri" w:hAnsi="Times New Roman"/>
          <w:sz w:val="20"/>
          <w:szCs w:val="20"/>
          <w:lang w:val="kk-KZ" w:eastAsia="en-US"/>
        </w:rPr>
        <w:t>не имеются</w:t>
      </w:r>
    </w:p>
    <w:p w:rsidR="00C6424E" w:rsidRPr="00E31458" w:rsidRDefault="00C6424E" w:rsidP="00BC724E">
      <w:pPr>
        <w:tabs>
          <w:tab w:val="left" w:pos="7485"/>
        </w:tabs>
        <w:spacing w:after="0" w:line="240" w:lineRule="auto"/>
        <w:jc w:val="both"/>
        <w:rPr>
          <w:rFonts w:ascii="Times New Roman" w:eastAsia="Calibri" w:hAnsi="Times New Roman"/>
          <w:sz w:val="20"/>
          <w:szCs w:val="20"/>
          <w:lang w:val="kk-KZ" w:eastAsia="en-US"/>
        </w:rPr>
      </w:pPr>
      <w:r w:rsidRPr="00E31458">
        <w:rPr>
          <w:rFonts w:ascii="Times New Roman" w:eastAsia="Calibri" w:hAnsi="Times New Roman"/>
          <w:sz w:val="20"/>
          <w:szCs w:val="20"/>
          <w:lang w:val="kk-KZ" w:eastAsia="en-US"/>
        </w:rPr>
        <w:t>4. По результатам рассмотрения по следующим лотам ценовые предложения признаны наименьшими и признаны следующие победители:</w:t>
      </w:r>
    </w:p>
    <w:p w:rsidR="00626E90" w:rsidRDefault="00021D01"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1) </w:t>
      </w:r>
      <w:r w:rsidR="00043086">
        <w:rPr>
          <w:rFonts w:ascii="Times New Roman" w:hAnsi="Times New Roman"/>
          <w:sz w:val="20"/>
          <w:szCs w:val="20"/>
          <w:lang w:val="kk-KZ"/>
        </w:rPr>
        <w:t>По лотам №8,9,10,11,12,47 – ТОО</w:t>
      </w:r>
      <w:r w:rsidR="00043086" w:rsidRPr="00043086">
        <w:rPr>
          <w:rFonts w:ascii="Times New Roman" w:hAnsi="Times New Roman"/>
          <w:sz w:val="20"/>
          <w:szCs w:val="20"/>
          <w:lang w:val="kk-KZ"/>
        </w:rPr>
        <w:t xml:space="preserve"> </w:t>
      </w:r>
      <w:r w:rsidR="00043086">
        <w:rPr>
          <w:rFonts w:ascii="Times New Roman" w:hAnsi="Times New Roman"/>
          <w:sz w:val="20"/>
          <w:szCs w:val="20"/>
          <w:lang w:val="kk-KZ"/>
        </w:rPr>
        <w:t>«</w:t>
      </w:r>
      <w:r w:rsidR="00043086" w:rsidRPr="00043086">
        <w:rPr>
          <w:rFonts w:ascii="Times New Roman" w:hAnsi="Times New Roman"/>
          <w:sz w:val="20"/>
          <w:szCs w:val="20"/>
          <w:lang w:val="kk-KZ"/>
        </w:rPr>
        <w:t>AUM+</w:t>
      </w:r>
      <w:r w:rsidR="00043086">
        <w:rPr>
          <w:rFonts w:ascii="Times New Roman" w:hAnsi="Times New Roman"/>
          <w:sz w:val="20"/>
          <w:szCs w:val="20"/>
          <w:lang w:val="kk-KZ"/>
        </w:rPr>
        <w:t xml:space="preserve">» г.Астана, ул.Е. Брусиловский, 24/1 каб.301, цена договора - </w:t>
      </w:r>
      <w:r w:rsidR="00814A41" w:rsidRPr="00814A41">
        <w:rPr>
          <w:rFonts w:ascii="Times New Roman" w:hAnsi="Times New Roman"/>
          <w:sz w:val="20"/>
          <w:szCs w:val="20"/>
          <w:lang w:val="kk-KZ"/>
        </w:rPr>
        <w:t>4 535 217,00</w:t>
      </w:r>
      <w:r w:rsidR="00FC120C">
        <w:rPr>
          <w:rFonts w:ascii="Times New Roman" w:hAnsi="Times New Roman"/>
          <w:sz w:val="20"/>
          <w:szCs w:val="20"/>
          <w:lang w:val="kk-KZ"/>
        </w:rPr>
        <w:t xml:space="preserve"> тенге;</w:t>
      </w:r>
    </w:p>
    <w:p w:rsidR="00FC120C" w:rsidRDefault="00021D01"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2) </w:t>
      </w:r>
      <w:r w:rsidR="00FC120C">
        <w:rPr>
          <w:rFonts w:ascii="Times New Roman" w:hAnsi="Times New Roman"/>
          <w:sz w:val="20"/>
          <w:szCs w:val="20"/>
          <w:lang w:val="kk-KZ"/>
        </w:rPr>
        <w:t>По лотам №</w:t>
      </w:r>
      <w:r w:rsidR="00FD5BF6">
        <w:rPr>
          <w:rFonts w:ascii="Times New Roman" w:hAnsi="Times New Roman"/>
          <w:sz w:val="20"/>
          <w:szCs w:val="20"/>
          <w:lang w:val="kk-KZ"/>
        </w:rPr>
        <w:t>14,15,16,17,18,20,22,23,24,25,26,37,38,39,40,56 -</w:t>
      </w:r>
      <w:r w:rsidR="00FC120C">
        <w:rPr>
          <w:rFonts w:ascii="Times New Roman" w:hAnsi="Times New Roman"/>
          <w:sz w:val="20"/>
          <w:szCs w:val="20"/>
          <w:lang w:val="kk-KZ"/>
        </w:rPr>
        <w:t xml:space="preserve"> </w:t>
      </w:r>
      <w:r w:rsidR="00FC120C" w:rsidRPr="00FC120C">
        <w:rPr>
          <w:rFonts w:ascii="Times New Roman" w:hAnsi="Times New Roman"/>
          <w:sz w:val="20"/>
          <w:szCs w:val="20"/>
          <w:lang w:val="kk-KZ"/>
        </w:rPr>
        <w:t xml:space="preserve">ТОО </w:t>
      </w:r>
      <w:r w:rsidR="00FC120C">
        <w:rPr>
          <w:rFonts w:ascii="Times New Roman" w:hAnsi="Times New Roman"/>
          <w:sz w:val="20"/>
          <w:szCs w:val="20"/>
          <w:lang w:val="kk-KZ"/>
        </w:rPr>
        <w:t>«</w:t>
      </w:r>
      <w:r w:rsidR="00FC120C" w:rsidRPr="00FC120C">
        <w:rPr>
          <w:rFonts w:ascii="Times New Roman" w:hAnsi="Times New Roman"/>
          <w:sz w:val="20"/>
          <w:szCs w:val="20"/>
          <w:lang w:val="kk-KZ"/>
        </w:rPr>
        <w:t>BLG Group</w:t>
      </w:r>
      <w:r w:rsidR="00FC120C">
        <w:rPr>
          <w:rFonts w:ascii="Times New Roman" w:hAnsi="Times New Roman"/>
          <w:sz w:val="20"/>
          <w:szCs w:val="20"/>
          <w:lang w:val="kk-KZ"/>
        </w:rPr>
        <w:t>»</w:t>
      </w:r>
      <w:r w:rsidR="00794AFE">
        <w:rPr>
          <w:rFonts w:ascii="Times New Roman" w:hAnsi="Times New Roman"/>
          <w:sz w:val="20"/>
          <w:szCs w:val="20"/>
          <w:lang w:val="kk-KZ"/>
        </w:rPr>
        <w:t xml:space="preserve"> г.Алматы, Алмалинский р-н, ул.Богенбай батыра, 142, 9 этаж 924 каб.</w:t>
      </w:r>
      <w:r w:rsidR="00042660">
        <w:rPr>
          <w:rFonts w:ascii="Times New Roman" w:hAnsi="Times New Roman"/>
          <w:sz w:val="20"/>
          <w:szCs w:val="20"/>
          <w:lang w:val="kk-KZ"/>
        </w:rPr>
        <w:t xml:space="preserve">, </w:t>
      </w:r>
      <w:r w:rsidR="00794AFE">
        <w:rPr>
          <w:rFonts w:ascii="Times New Roman" w:hAnsi="Times New Roman"/>
          <w:sz w:val="20"/>
          <w:szCs w:val="20"/>
          <w:lang w:val="kk-KZ"/>
        </w:rPr>
        <w:t xml:space="preserve"> цена договора - </w:t>
      </w:r>
      <w:r w:rsidR="00042660">
        <w:rPr>
          <w:rFonts w:ascii="Times New Roman" w:hAnsi="Times New Roman"/>
          <w:sz w:val="20"/>
          <w:szCs w:val="20"/>
          <w:lang w:val="kk-KZ"/>
        </w:rPr>
        <w:t xml:space="preserve">   </w:t>
      </w:r>
      <w:r w:rsidR="00794AFE" w:rsidRPr="00794AFE">
        <w:rPr>
          <w:rFonts w:ascii="Times New Roman" w:hAnsi="Times New Roman"/>
          <w:sz w:val="20"/>
          <w:szCs w:val="20"/>
          <w:lang w:val="kk-KZ"/>
        </w:rPr>
        <w:t>9 573 060,00</w:t>
      </w:r>
      <w:r w:rsidR="00794AFE">
        <w:rPr>
          <w:rFonts w:ascii="Times New Roman" w:hAnsi="Times New Roman"/>
          <w:sz w:val="20"/>
          <w:szCs w:val="20"/>
          <w:lang w:val="kk-KZ"/>
        </w:rPr>
        <w:t xml:space="preserve"> тенге</w:t>
      </w:r>
      <w:r w:rsidR="00BC724E">
        <w:rPr>
          <w:rFonts w:ascii="Times New Roman" w:hAnsi="Times New Roman"/>
          <w:sz w:val="20"/>
          <w:szCs w:val="20"/>
          <w:lang w:val="kk-KZ"/>
        </w:rPr>
        <w:t>;</w:t>
      </w:r>
    </w:p>
    <w:p w:rsidR="008F7BCC" w:rsidRDefault="00021D01"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3) </w:t>
      </w:r>
      <w:r w:rsidR="008F7BCC">
        <w:rPr>
          <w:rFonts w:ascii="Times New Roman" w:hAnsi="Times New Roman"/>
          <w:sz w:val="20"/>
          <w:szCs w:val="20"/>
          <w:lang w:val="kk-KZ"/>
        </w:rPr>
        <w:t xml:space="preserve">По лотам №41,42,43,44,45,46 - </w:t>
      </w:r>
      <w:r w:rsidR="008F7BCC" w:rsidRPr="008F7BCC">
        <w:rPr>
          <w:rFonts w:ascii="Times New Roman" w:hAnsi="Times New Roman"/>
          <w:sz w:val="20"/>
          <w:szCs w:val="20"/>
          <w:lang w:val="kk-KZ"/>
        </w:rPr>
        <w:t xml:space="preserve">ТОО </w:t>
      </w:r>
      <w:r w:rsidR="008F7BCC">
        <w:rPr>
          <w:rFonts w:ascii="Times New Roman" w:hAnsi="Times New Roman"/>
          <w:sz w:val="20"/>
          <w:szCs w:val="20"/>
          <w:lang w:val="kk-KZ"/>
        </w:rPr>
        <w:t>«</w:t>
      </w:r>
      <w:r w:rsidR="008F7BCC" w:rsidRPr="008F7BCC">
        <w:rPr>
          <w:rFonts w:ascii="Times New Roman" w:hAnsi="Times New Roman"/>
          <w:sz w:val="20"/>
          <w:szCs w:val="20"/>
          <w:lang w:val="kk-KZ"/>
        </w:rPr>
        <w:t>KAZMEDEQ.KZ</w:t>
      </w:r>
      <w:r w:rsidR="008F7BCC">
        <w:rPr>
          <w:rFonts w:ascii="Times New Roman" w:hAnsi="Times New Roman"/>
          <w:sz w:val="20"/>
          <w:szCs w:val="20"/>
          <w:lang w:val="kk-KZ"/>
        </w:rPr>
        <w:t xml:space="preserve">» г.Астана, ул.Сыганак,43 6-этаж, цена договора - </w:t>
      </w:r>
      <w:r w:rsidR="008F7BCC" w:rsidRPr="008F7BCC">
        <w:rPr>
          <w:rFonts w:ascii="Times New Roman" w:hAnsi="Times New Roman"/>
          <w:sz w:val="20"/>
          <w:szCs w:val="20"/>
          <w:lang w:val="kk-KZ"/>
        </w:rPr>
        <w:t>3 875 500,00</w:t>
      </w:r>
      <w:r w:rsidR="008F7BCC">
        <w:rPr>
          <w:rFonts w:ascii="Times New Roman" w:hAnsi="Times New Roman"/>
          <w:sz w:val="20"/>
          <w:szCs w:val="20"/>
          <w:lang w:val="kk-KZ"/>
        </w:rPr>
        <w:t xml:space="preserve"> тенге;</w:t>
      </w:r>
    </w:p>
    <w:p w:rsidR="00F6318F" w:rsidRPr="008F7BCC" w:rsidRDefault="00021D01"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4) </w:t>
      </w:r>
      <w:r w:rsidR="00F6318F">
        <w:rPr>
          <w:rFonts w:ascii="Times New Roman" w:hAnsi="Times New Roman"/>
          <w:sz w:val="20"/>
          <w:szCs w:val="20"/>
          <w:lang w:val="kk-KZ"/>
        </w:rPr>
        <w:t xml:space="preserve">По лотам №19,21 – ТОО «ТЦ Мастер» г.Кокшетау, ул.Акан серы,100, цена договора - </w:t>
      </w:r>
      <w:r w:rsidR="00F6318F" w:rsidRPr="00F6318F">
        <w:rPr>
          <w:rFonts w:ascii="Times New Roman" w:hAnsi="Times New Roman"/>
          <w:sz w:val="20"/>
          <w:szCs w:val="20"/>
          <w:lang w:val="kk-KZ"/>
        </w:rPr>
        <w:t>198 534,00</w:t>
      </w:r>
      <w:r w:rsidR="00F6318F">
        <w:rPr>
          <w:rFonts w:ascii="Times New Roman" w:hAnsi="Times New Roman"/>
          <w:sz w:val="20"/>
          <w:szCs w:val="20"/>
          <w:lang w:val="kk-KZ"/>
        </w:rPr>
        <w:t xml:space="preserve"> тенге;</w:t>
      </w:r>
    </w:p>
    <w:p w:rsidR="00A974C8" w:rsidRDefault="00021D01" w:rsidP="00A974C8">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5) </w:t>
      </w:r>
      <w:r w:rsidR="00A974C8">
        <w:rPr>
          <w:rFonts w:ascii="Times New Roman" w:hAnsi="Times New Roman"/>
          <w:sz w:val="20"/>
          <w:szCs w:val="20"/>
          <w:lang w:val="kk-KZ"/>
        </w:rPr>
        <w:t>По лотам №1,2,3,4,5 – ТОО «ЛюксТест» г.Караганда ул.Муканова, строение 18/7, цена договора – 2 035 170,00 тенге;</w:t>
      </w:r>
    </w:p>
    <w:p w:rsidR="00A974C8" w:rsidRDefault="00021D01" w:rsidP="00A974C8">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6) </w:t>
      </w:r>
      <w:r w:rsidR="00A974C8">
        <w:rPr>
          <w:rFonts w:ascii="Times New Roman" w:hAnsi="Times New Roman"/>
          <w:sz w:val="20"/>
          <w:szCs w:val="20"/>
          <w:lang w:val="kk-KZ"/>
        </w:rPr>
        <w:t>По лотам №6,32,52 – ПК «Витанова» г.Караганда ул.Абая, 71, цена договора – 675 520,00 тенге;</w:t>
      </w:r>
    </w:p>
    <w:p w:rsidR="009E7C4F" w:rsidRDefault="00021D01" w:rsidP="00A974C8">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7) </w:t>
      </w:r>
      <w:r w:rsidR="00A974C8">
        <w:rPr>
          <w:rFonts w:ascii="Times New Roman" w:hAnsi="Times New Roman"/>
          <w:sz w:val="20"/>
          <w:szCs w:val="20"/>
          <w:lang w:val="kk-KZ"/>
        </w:rPr>
        <w:t>По лотам №7,13,27,28,29,30,31,33,34,35,36</w:t>
      </w:r>
      <w:r w:rsidR="005D614D">
        <w:rPr>
          <w:rFonts w:ascii="Times New Roman" w:hAnsi="Times New Roman"/>
          <w:sz w:val="20"/>
          <w:szCs w:val="20"/>
          <w:lang w:val="kk-KZ"/>
        </w:rPr>
        <w:t>,53</w:t>
      </w:r>
      <w:r w:rsidR="00043086">
        <w:rPr>
          <w:rFonts w:ascii="Times New Roman" w:hAnsi="Times New Roman"/>
          <w:sz w:val="20"/>
          <w:szCs w:val="20"/>
          <w:lang w:val="kk-KZ"/>
        </w:rPr>
        <w:t xml:space="preserve"> </w:t>
      </w:r>
      <w:r w:rsidR="00A974C8">
        <w:rPr>
          <w:rFonts w:ascii="Times New Roman" w:hAnsi="Times New Roman"/>
          <w:sz w:val="20"/>
          <w:szCs w:val="20"/>
          <w:lang w:val="kk-KZ"/>
        </w:rPr>
        <w:t>–ТОО «БионМедСервис» г. Караганда, пр. Строителей строение ,6, цена договора – 3 154 905,00 тенге;</w:t>
      </w:r>
    </w:p>
    <w:p w:rsidR="00954B87" w:rsidRPr="00E31458" w:rsidRDefault="00D41DF4" w:rsidP="00BC724E">
      <w:pPr>
        <w:spacing w:after="0" w:line="240" w:lineRule="auto"/>
        <w:contextualSpacing/>
        <w:jc w:val="both"/>
        <w:rPr>
          <w:rFonts w:ascii="Times New Roman" w:hAnsi="Times New Roman"/>
          <w:sz w:val="20"/>
          <w:szCs w:val="20"/>
        </w:rPr>
      </w:pPr>
      <w:r>
        <w:rPr>
          <w:rFonts w:ascii="Times New Roman" w:hAnsi="Times New Roman"/>
          <w:sz w:val="20"/>
          <w:szCs w:val="20"/>
          <w:lang w:val="kk-KZ"/>
        </w:rPr>
        <w:t>8</w:t>
      </w:r>
      <w:r w:rsidR="009D0C85" w:rsidRPr="00E31458">
        <w:rPr>
          <w:rFonts w:ascii="Times New Roman" w:hAnsi="Times New Roman"/>
          <w:sz w:val="20"/>
          <w:szCs w:val="20"/>
          <w:lang w:val="kk-KZ"/>
        </w:rPr>
        <w:t xml:space="preserve">) </w:t>
      </w:r>
      <w:r>
        <w:rPr>
          <w:rFonts w:ascii="Times New Roman" w:hAnsi="Times New Roman"/>
          <w:sz w:val="20"/>
          <w:szCs w:val="20"/>
          <w:lang w:val="kk-KZ"/>
        </w:rPr>
        <w:t>Л</w:t>
      </w:r>
      <w:r w:rsidR="00130774" w:rsidRPr="00E31458">
        <w:rPr>
          <w:rFonts w:ascii="Times New Roman" w:hAnsi="Times New Roman"/>
          <w:sz w:val="20"/>
          <w:szCs w:val="20"/>
          <w:lang w:val="kk-KZ"/>
        </w:rPr>
        <w:t>от</w:t>
      </w:r>
      <w:r w:rsidR="00906460" w:rsidRPr="00E31458">
        <w:rPr>
          <w:rFonts w:ascii="Times New Roman" w:hAnsi="Times New Roman"/>
          <w:sz w:val="20"/>
          <w:szCs w:val="20"/>
          <w:lang w:val="kk-KZ"/>
        </w:rPr>
        <w:t>ы</w:t>
      </w:r>
      <w:r w:rsidR="00130774" w:rsidRPr="00E31458">
        <w:rPr>
          <w:rFonts w:ascii="Times New Roman" w:hAnsi="Times New Roman"/>
          <w:sz w:val="20"/>
          <w:szCs w:val="20"/>
          <w:lang w:val="kk-KZ"/>
        </w:rPr>
        <w:t xml:space="preserve"> №</w:t>
      </w:r>
      <w:r w:rsidR="00B11AFB">
        <w:rPr>
          <w:rFonts w:ascii="Times New Roman" w:hAnsi="Times New Roman"/>
          <w:sz w:val="20"/>
          <w:szCs w:val="20"/>
          <w:lang w:val="kk-KZ"/>
        </w:rPr>
        <w:t>48,49,50,51,54,55</w:t>
      </w:r>
      <w:r w:rsidR="009E7C4F" w:rsidRPr="00E31458">
        <w:rPr>
          <w:rFonts w:ascii="Times New Roman" w:hAnsi="Times New Roman"/>
          <w:sz w:val="20"/>
          <w:szCs w:val="20"/>
          <w:lang w:val="kk-KZ"/>
        </w:rPr>
        <w:t xml:space="preserve"> </w:t>
      </w:r>
      <w:r w:rsidR="00B17E8C" w:rsidRPr="00E31458">
        <w:rPr>
          <w:rFonts w:ascii="Times New Roman" w:hAnsi="Times New Roman"/>
          <w:sz w:val="20"/>
          <w:szCs w:val="20"/>
          <w:lang w:val="kk-KZ"/>
        </w:rPr>
        <w:t>признан</w:t>
      </w:r>
      <w:r w:rsidR="00906460" w:rsidRPr="00E31458">
        <w:rPr>
          <w:rFonts w:ascii="Times New Roman" w:hAnsi="Times New Roman"/>
          <w:sz w:val="20"/>
          <w:szCs w:val="20"/>
          <w:lang w:val="kk-KZ"/>
        </w:rPr>
        <w:t>ы</w:t>
      </w:r>
      <w:r w:rsidR="000D144D">
        <w:rPr>
          <w:rFonts w:ascii="Times New Roman" w:hAnsi="Times New Roman"/>
          <w:sz w:val="20"/>
          <w:szCs w:val="20"/>
          <w:lang w:val="kk-KZ"/>
        </w:rPr>
        <w:t xml:space="preserve"> несостоявшимися согласно п.140 главы 10 Правил.</w:t>
      </w:r>
    </w:p>
    <w:p w:rsidR="00C6424E" w:rsidRPr="00E31458" w:rsidRDefault="00C6424E" w:rsidP="00BC724E">
      <w:pPr>
        <w:autoSpaceDE w:val="0"/>
        <w:autoSpaceDN w:val="0"/>
        <w:adjustRightInd w:val="0"/>
        <w:spacing w:after="0" w:line="240" w:lineRule="auto"/>
        <w:jc w:val="both"/>
        <w:rPr>
          <w:rFonts w:ascii="Times New Roman" w:eastAsiaTheme="minorHAnsi" w:hAnsi="Times New Roman"/>
          <w:sz w:val="20"/>
          <w:szCs w:val="20"/>
          <w:lang w:val="kk-KZ" w:eastAsia="en-US"/>
        </w:rPr>
      </w:pPr>
      <w:r w:rsidRPr="00E31458">
        <w:rPr>
          <w:rFonts w:ascii="Times New Roman" w:eastAsiaTheme="minorHAnsi" w:hAnsi="Times New Roman"/>
          <w:sz w:val="20"/>
          <w:szCs w:val="20"/>
          <w:lang w:val="kk-KZ" w:eastAsia="en-US"/>
        </w:rPr>
        <w:t xml:space="preserve">5. Во исполнение п. 4 настоящего Протокола победителям закупа обеспечить предоставление документов в порядке и сроки, предусмотренные п. </w:t>
      </w:r>
      <w:r w:rsidR="00D77DC6" w:rsidRPr="00E31458">
        <w:rPr>
          <w:rFonts w:ascii="Times New Roman" w:eastAsiaTheme="minorHAnsi" w:hAnsi="Times New Roman"/>
          <w:sz w:val="20"/>
          <w:szCs w:val="20"/>
          <w:lang w:val="kk-KZ" w:eastAsia="en-US"/>
        </w:rPr>
        <w:t>141</w:t>
      </w:r>
      <w:r w:rsidR="00D63362" w:rsidRPr="00E31458">
        <w:rPr>
          <w:rFonts w:ascii="Times New Roman" w:eastAsiaTheme="minorHAnsi" w:hAnsi="Times New Roman"/>
          <w:sz w:val="20"/>
          <w:szCs w:val="20"/>
          <w:lang w:eastAsia="en-US"/>
        </w:rPr>
        <w:t xml:space="preserve"> </w:t>
      </w:r>
      <w:r w:rsidRPr="00E31458">
        <w:rPr>
          <w:rFonts w:ascii="Times New Roman" w:eastAsiaTheme="minorHAnsi" w:hAnsi="Times New Roman"/>
          <w:sz w:val="20"/>
          <w:szCs w:val="20"/>
          <w:lang w:val="kk-KZ" w:eastAsia="en-US"/>
        </w:rPr>
        <w:t xml:space="preserve">Правил для последующего подписания сторонами договора закупа. </w:t>
      </w:r>
    </w:p>
    <w:p w:rsidR="00C6424E" w:rsidRPr="00E31458" w:rsidRDefault="00C6424E" w:rsidP="00BC724E">
      <w:pPr>
        <w:tabs>
          <w:tab w:val="left" w:pos="7485"/>
        </w:tabs>
        <w:spacing w:after="0" w:line="240" w:lineRule="auto"/>
        <w:jc w:val="both"/>
        <w:rPr>
          <w:rFonts w:ascii="Times New Roman" w:hAnsi="Times New Roman"/>
          <w:sz w:val="20"/>
          <w:szCs w:val="20"/>
          <w:lang w:val="kk-KZ"/>
        </w:rPr>
      </w:pPr>
      <w:r w:rsidRPr="00E31458">
        <w:rPr>
          <w:rFonts w:ascii="Times New Roman" w:eastAsiaTheme="minorHAnsi" w:hAnsi="Times New Roman"/>
          <w:sz w:val="20"/>
          <w:szCs w:val="20"/>
          <w:lang w:val="kk-KZ" w:eastAsia="en-US"/>
        </w:rPr>
        <w:t xml:space="preserve">6. Отделу закупок обеспечить исполнение настоящего протокола в порядке и сроки, установленные главой </w:t>
      </w:r>
      <w:r w:rsidR="006B6763" w:rsidRPr="00E31458">
        <w:rPr>
          <w:rFonts w:ascii="Times New Roman" w:eastAsiaTheme="minorHAnsi" w:hAnsi="Times New Roman"/>
          <w:sz w:val="20"/>
          <w:szCs w:val="20"/>
          <w:lang w:val="kk-KZ" w:eastAsia="en-US"/>
        </w:rPr>
        <w:t>10</w:t>
      </w:r>
      <w:r w:rsidRPr="00E31458">
        <w:rPr>
          <w:rFonts w:ascii="Times New Roman" w:eastAsiaTheme="minorHAnsi" w:hAnsi="Times New Roman"/>
          <w:sz w:val="20"/>
          <w:szCs w:val="20"/>
          <w:lang w:val="kk-KZ" w:eastAsia="en-US"/>
        </w:rPr>
        <w:t xml:space="preserve"> Правил. </w:t>
      </w:r>
    </w:p>
    <w:p w:rsidR="00C6424E" w:rsidRPr="00E31458" w:rsidRDefault="00C6424E" w:rsidP="00C6424E">
      <w:pPr>
        <w:spacing w:after="0" w:line="240" w:lineRule="auto"/>
        <w:jc w:val="both"/>
        <w:rPr>
          <w:rFonts w:ascii="Times New Roman" w:hAnsi="Times New Roman"/>
          <w:b/>
          <w:sz w:val="20"/>
          <w:szCs w:val="20"/>
          <w:lang w:val="kk-KZ"/>
        </w:rPr>
      </w:pPr>
    </w:p>
    <w:p w:rsidR="00BF47A5" w:rsidRPr="00E31458" w:rsidRDefault="00771BA3" w:rsidP="00906460">
      <w:pPr>
        <w:spacing w:after="0" w:line="240" w:lineRule="auto"/>
        <w:jc w:val="both"/>
        <w:rPr>
          <w:rFonts w:ascii="Times New Roman" w:hAnsi="Times New Roman"/>
          <w:b/>
          <w:sz w:val="20"/>
          <w:szCs w:val="20"/>
        </w:rPr>
      </w:pPr>
      <w:r w:rsidRPr="00E31458">
        <w:rPr>
          <w:rFonts w:ascii="Times New Roman" w:hAnsi="Times New Roman"/>
          <w:b/>
          <w:sz w:val="20"/>
          <w:szCs w:val="20"/>
          <w:lang w:val="kk-KZ"/>
        </w:rPr>
        <w:t xml:space="preserve">     </w:t>
      </w:r>
      <w:r w:rsidR="00B45AB8" w:rsidRPr="00E31458">
        <w:rPr>
          <w:rFonts w:ascii="Times New Roman" w:hAnsi="Times New Roman"/>
          <w:b/>
          <w:sz w:val="20"/>
          <w:szCs w:val="20"/>
          <w:lang w:val="kk-KZ"/>
        </w:rPr>
        <w:t xml:space="preserve">                           </w:t>
      </w:r>
      <w:r w:rsidR="00BF47A5" w:rsidRPr="00E31458">
        <w:rPr>
          <w:rFonts w:ascii="Times New Roman" w:hAnsi="Times New Roman"/>
          <w:b/>
          <w:sz w:val="20"/>
          <w:szCs w:val="20"/>
        </w:rPr>
        <w:t>Заместитель председателя правления</w:t>
      </w:r>
    </w:p>
    <w:p w:rsidR="00BF47A5" w:rsidRPr="00E31458" w:rsidRDefault="00BF47A5" w:rsidP="00BF47A5">
      <w:pPr>
        <w:spacing w:after="0" w:line="240" w:lineRule="auto"/>
        <w:ind w:left="-900" w:firstLine="900"/>
        <w:jc w:val="both"/>
        <w:rPr>
          <w:rFonts w:ascii="Times New Roman" w:hAnsi="Times New Roman"/>
          <w:b/>
          <w:sz w:val="20"/>
          <w:szCs w:val="20"/>
          <w:lang w:val="kk-KZ"/>
        </w:rPr>
      </w:pPr>
      <w:r w:rsidRPr="00E31458">
        <w:rPr>
          <w:rFonts w:ascii="Times New Roman" w:hAnsi="Times New Roman"/>
          <w:b/>
          <w:sz w:val="20"/>
          <w:szCs w:val="20"/>
        </w:rPr>
        <w:t xml:space="preserve">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00B45AB8" w:rsidRPr="00E31458">
        <w:rPr>
          <w:rFonts w:ascii="Times New Roman" w:hAnsi="Times New Roman"/>
          <w:b/>
          <w:sz w:val="20"/>
          <w:szCs w:val="20"/>
        </w:rPr>
        <w:t xml:space="preserve">   </w:t>
      </w:r>
      <w:r w:rsidRPr="00E31458">
        <w:rPr>
          <w:rFonts w:ascii="Times New Roman" w:hAnsi="Times New Roman"/>
          <w:b/>
          <w:sz w:val="20"/>
          <w:szCs w:val="20"/>
        </w:rPr>
        <w:t xml:space="preserve">по медицинской деятельности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Pr="00E31458">
        <w:rPr>
          <w:rFonts w:ascii="Times New Roman" w:hAnsi="Times New Roman"/>
          <w:b/>
          <w:sz w:val="20"/>
          <w:szCs w:val="20"/>
          <w:lang w:val="kk-KZ"/>
        </w:rPr>
        <w:t>Купенов Б.Г.</w:t>
      </w:r>
    </w:p>
    <w:p w:rsidR="00A2778E" w:rsidRPr="00E31458" w:rsidRDefault="00A2778E" w:rsidP="00EA563B">
      <w:pPr>
        <w:spacing w:after="0" w:line="240" w:lineRule="auto"/>
        <w:jc w:val="both"/>
        <w:rPr>
          <w:rFonts w:ascii="Times New Roman" w:hAnsi="Times New Roman"/>
          <w:b/>
          <w:sz w:val="20"/>
          <w:szCs w:val="20"/>
          <w:lang w:val="kk-KZ"/>
        </w:rPr>
      </w:pPr>
    </w:p>
    <w:p w:rsidR="00460BEB" w:rsidRDefault="00460BEB" w:rsidP="00EA563B">
      <w:pPr>
        <w:spacing w:after="0" w:line="240" w:lineRule="auto"/>
        <w:jc w:val="both"/>
        <w:rPr>
          <w:rFonts w:ascii="Times New Roman" w:hAnsi="Times New Roman"/>
          <w:sz w:val="20"/>
          <w:szCs w:val="20"/>
          <w:lang w:val="kk-KZ"/>
        </w:rPr>
      </w:pPr>
    </w:p>
    <w:p w:rsidR="00626E90" w:rsidRDefault="00626E90" w:rsidP="00EA563B">
      <w:pPr>
        <w:spacing w:after="0" w:line="240" w:lineRule="auto"/>
        <w:jc w:val="both"/>
        <w:rPr>
          <w:rFonts w:ascii="Times New Roman" w:hAnsi="Times New Roman"/>
          <w:sz w:val="20"/>
          <w:szCs w:val="20"/>
          <w:lang w:val="kk-KZ"/>
        </w:rPr>
      </w:pPr>
    </w:p>
    <w:p w:rsidR="00626E90" w:rsidRPr="00E31458" w:rsidRDefault="00626E90" w:rsidP="00EA563B">
      <w:pPr>
        <w:spacing w:after="0" w:line="240" w:lineRule="auto"/>
        <w:jc w:val="both"/>
        <w:rPr>
          <w:rFonts w:ascii="Times New Roman" w:hAnsi="Times New Roman"/>
          <w:sz w:val="20"/>
          <w:szCs w:val="20"/>
          <w:lang w:val="kk-KZ"/>
        </w:rPr>
      </w:pPr>
    </w:p>
    <w:p w:rsidR="00A2778E" w:rsidRPr="00E31458" w:rsidRDefault="007630CA" w:rsidP="00EA563B">
      <w:pPr>
        <w:spacing w:after="0" w:line="240" w:lineRule="auto"/>
        <w:jc w:val="both"/>
        <w:rPr>
          <w:rFonts w:ascii="Times New Roman" w:hAnsi="Times New Roman"/>
          <w:sz w:val="16"/>
          <w:szCs w:val="16"/>
          <w:lang w:val="kk-KZ"/>
        </w:rPr>
      </w:pPr>
      <w:r w:rsidRPr="00E31458">
        <w:rPr>
          <w:rFonts w:ascii="Times New Roman" w:hAnsi="Times New Roman"/>
          <w:sz w:val="16"/>
          <w:szCs w:val="16"/>
          <w:lang w:val="kk-KZ"/>
        </w:rPr>
        <w:t>Исп.</w:t>
      </w:r>
      <w:r w:rsidR="00E22912">
        <w:rPr>
          <w:rFonts w:ascii="Times New Roman" w:hAnsi="Times New Roman"/>
          <w:sz w:val="16"/>
          <w:szCs w:val="16"/>
          <w:lang w:val="kk-KZ"/>
        </w:rPr>
        <w:t xml:space="preserve"> Исабекова М.Т.</w:t>
      </w:r>
    </w:p>
    <w:p w:rsidR="00A2778E" w:rsidRPr="00E31458" w:rsidRDefault="007630CA" w:rsidP="00430136">
      <w:pPr>
        <w:spacing w:after="0" w:line="240" w:lineRule="auto"/>
        <w:jc w:val="both"/>
        <w:rPr>
          <w:rFonts w:ascii="Times New Roman" w:hAnsi="Times New Roman"/>
          <w:sz w:val="20"/>
          <w:szCs w:val="20"/>
        </w:rPr>
      </w:pPr>
      <w:r w:rsidRPr="00E31458">
        <w:rPr>
          <w:rFonts w:ascii="Times New Roman" w:hAnsi="Times New Roman"/>
          <w:sz w:val="16"/>
          <w:szCs w:val="16"/>
          <w:lang w:val="kk-KZ"/>
        </w:rPr>
        <w:t>Тел.23-21-50</w:t>
      </w:r>
      <w:r w:rsidR="00A2778E" w:rsidRPr="00E31458">
        <w:rPr>
          <w:rFonts w:ascii="Times New Roman" w:hAnsi="Times New Roman"/>
          <w:sz w:val="20"/>
          <w:szCs w:val="20"/>
        </w:rPr>
        <w:t xml:space="preserve">                                                 </w:t>
      </w:r>
    </w:p>
    <w:sectPr w:rsidR="00A2778E" w:rsidRPr="00E31458" w:rsidSect="00962403">
      <w:pgSz w:w="16838" w:h="11906" w:orient="landscape"/>
      <w:pgMar w:top="568"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C94" w:rsidRDefault="006F3C94" w:rsidP="00EB133F">
      <w:pPr>
        <w:spacing w:after="0" w:line="240" w:lineRule="auto"/>
      </w:pPr>
      <w:r>
        <w:separator/>
      </w:r>
    </w:p>
  </w:endnote>
  <w:endnote w:type="continuationSeparator" w:id="0">
    <w:p w:rsidR="006F3C94" w:rsidRDefault="006F3C94" w:rsidP="00EB1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C94" w:rsidRDefault="006F3C94" w:rsidP="00EB133F">
      <w:pPr>
        <w:spacing w:after="0" w:line="240" w:lineRule="auto"/>
      </w:pPr>
      <w:r>
        <w:separator/>
      </w:r>
    </w:p>
  </w:footnote>
  <w:footnote w:type="continuationSeparator" w:id="0">
    <w:p w:rsidR="006F3C94" w:rsidRDefault="006F3C94" w:rsidP="00EB1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A0010"/>
    <w:multiLevelType w:val="hybridMultilevel"/>
    <w:tmpl w:val="4D68F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847F8"/>
    <w:multiLevelType w:val="hybridMultilevel"/>
    <w:tmpl w:val="79FC3AE0"/>
    <w:lvl w:ilvl="0" w:tplc="2FECC472">
      <w:start w:val="1"/>
      <w:numFmt w:val="decimal"/>
      <w:lvlText w:val="%1."/>
      <w:lvlJc w:val="right"/>
      <w:pPr>
        <w:ind w:left="927"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15:restartNumberingAfterBreak="0">
    <w:nsid w:val="22624EA7"/>
    <w:multiLevelType w:val="hybridMultilevel"/>
    <w:tmpl w:val="0C0A506C"/>
    <w:lvl w:ilvl="0" w:tplc="F88A8CD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9C1019"/>
    <w:multiLevelType w:val="hybridMultilevel"/>
    <w:tmpl w:val="6BEE280E"/>
    <w:lvl w:ilvl="0" w:tplc="2FECC47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471E37"/>
    <w:multiLevelType w:val="hybridMultilevel"/>
    <w:tmpl w:val="B396FD9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65151F"/>
    <w:multiLevelType w:val="hybridMultilevel"/>
    <w:tmpl w:val="EEB2D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C3209D"/>
    <w:multiLevelType w:val="hybridMultilevel"/>
    <w:tmpl w:val="3F9A8B40"/>
    <w:lvl w:ilvl="0" w:tplc="AF7CA780">
      <w:start w:val="1"/>
      <w:numFmt w:val="decimal"/>
      <w:lvlText w:val="%1."/>
      <w:lvlJc w:val="righ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804F16"/>
    <w:multiLevelType w:val="hybridMultilevel"/>
    <w:tmpl w:val="4D68F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BD664F"/>
    <w:multiLevelType w:val="multilevel"/>
    <w:tmpl w:val="3FF2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2D4F51"/>
    <w:multiLevelType w:val="hybridMultilevel"/>
    <w:tmpl w:val="CE1ED1DA"/>
    <w:lvl w:ilvl="0" w:tplc="2FECC472">
      <w:start w:val="1"/>
      <w:numFmt w:val="decimal"/>
      <w:lvlText w:val="%1."/>
      <w:lvlJc w:val="righ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6"/>
  </w:num>
  <w:num w:numId="2">
    <w:abstractNumId w:val="9"/>
  </w:num>
  <w:num w:numId="3">
    <w:abstractNumId w:val="3"/>
  </w:num>
  <w:num w:numId="4">
    <w:abstractNumId w:val="1"/>
  </w:num>
  <w:num w:numId="5">
    <w:abstractNumId w:val="2"/>
  </w:num>
  <w:num w:numId="6">
    <w:abstractNumId w:val="0"/>
  </w:num>
  <w:num w:numId="7">
    <w:abstractNumId w:val="8"/>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EB"/>
    <w:rsid w:val="0000120B"/>
    <w:rsid w:val="00004613"/>
    <w:rsid w:val="00010340"/>
    <w:rsid w:val="00012695"/>
    <w:rsid w:val="000151F3"/>
    <w:rsid w:val="00021D01"/>
    <w:rsid w:val="00025989"/>
    <w:rsid w:val="00030CD2"/>
    <w:rsid w:val="00031B54"/>
    <w:rsid w:val="000353CD"/>
    <w:rsid w:val="000369C0"/>
    <w:rsid w:val="0003797D"/>
    <w:rsid w:val="00040012"/>
    <w:rsid w:val="000405E4"/>
    <w:rsid w:val="00041D48"/>
    <w:rsid w:val="00042660"/>
    <w:rsid w:val="00043086"/>
    <w:rsid w:val="00044B2E"/>
    <w:rsid w:val="00045C10"/>
    <w:rsid w:val="00047146"/>
    <w:rsid w:val="00050F22"/>
    <w:rsid w:val="000526A3"/>
    <w:rsid w:val="00053762"/>
    <w:rsid w:val="000563A5"/>
    <w:rsid w:val="000567D6"/>
    <w:rsid w:val="00057FA0"/>
    <w:rsid w:val="00065949"/>
    <w:rsid w:val="000665EB"/>
    <w:rsid w:val="00072155"/>
    <w:rsid w:val="00072E46"/>
    <w:rsid w:val="000736D7"/>
    <w:rsid w:val="00073A06"/>
    <w:rsid w:val="00073AEE"/>
    <w:rsid w:val="000746DA"/>
    <w:rsid w:val="00074B5E"/>
    <w:rsid w:val="00077EE8"/>
    <w:rsid w:val="000826D9"/>
    <w:rsid w:val="000856DE"/>
    <w:rsid w:val="00085978"/>
    <w:rsid w:val="00090E50"/>
    <w:rsid w:val="000932E1"/>
    <w:rsid w:val="000A1E8F"/>
    <w:rsid w:val="000A23EB"/>
    <w:rsid w:val="000A2CA5"/>
    <w:rsid w:val="000A5435"/>
    <w:rsid w:val="000B050E"/>
    <w:rsid w:val="000B1BB6"/>
    <w:rsid w:val="000B3DCB"/>
    <w:rsid w:val="000C175B"/>
    <w:rsid w:val="000C3E26"/>
    <w:rsid w:val="000C421D"/>
    <w:rsid w:val="000C55F8"/>
    <w:rsid w:val="000D144D"/>
    <w:rsid w:val="000D1AE4"/>
    <w:rsid w:val="000D2D9B"/>
    <w:rsid w:val="000D7100"/>
    <w:rsid w:val="000E00FA"/>
    <w:rsid w:val="000E1A14"/>
    <w:rsid w:val="000E27A8"/>
    <w:rsid w:val="000E5E81"/>
    <w:rsid w:val="000F3DAC"/>
    <w:rsid w:val="000F3FAE"/>
    <w:rsid w:val="000F47D8"/>
    <w:rsid w:val="000F55FB"/>
    <w:rsid w:val="000F5DBD"/>
    <w:rsid w:val="001037BD"/>
    <w:rsid w:val="001041C2"/>
    <w:rsid w:val="00104315"/>
    <w:rsid w:val="00105916"/>
    <w:rsid w:val="001062A9"/>
    <w:rsid w:val="001063AE"/>
    <w:rsid w:val="00106777"/>
    <w:rsid w:val="001077FB"/>
    <w:rsid w:val="00114AA0"/>
    <w:rsid w:val="001202F0"/>
    <w:rsid w:val="0012106E"/>
    <w:rsid w:val="00121DC6"/>
    <w:rsid w:val="00122931"/>
    <w:rsid w:val="0012668D"/>
    <w:rsid w:val="00126827"/>
    <w:rsid w:val="00127155"/>
    <w:rsid w:val="00130774"/>
    <w:rsid w:val="00130CC0"/>
    <w:rsid w:val="00132BC1"/>
    <w:rsid w:val="00142C91"/>
    <w:rsid w:val="00142DDF"/>
    <w:rsid w:val="00146E4D"/>
    <w:rsid w:val="0014755A"/>
    <w:rsid w:val="00150A88"/>
    <w:rsid w:val="00150B05"/>
    <w:rsid w:val="00152463"/>
    <w:rsid w:val="0015491B"/>
    <w:rsid w:val="00162323"/>
    <w:rsid w:val="00163409"/>
    <w:rsid w:val="0017713F"/>
    <w:rsid w:val="00177773"/>
    <w:rsid w:val="001816ED"/>
    <w:rsid w:val="0018212E"/>
    <w:rsid w:val="0018622B"/>
    <w:rsid w:val="00187834"/>
    <w:rsid w:val="00187A05"/>
    <w:rsid w:val="00192ABC"/>
    <w:rsid w:val="001963DB"/>
    <w:rsid w:val="001968BA"/>
    <w:rsid w:val="001A1025"/>
    <w:rsid w:val="001A6703"/>
    <w:rsid w:val="001A7255"/>
    <w:rsid w:val="001A79F2"/>
    <w:rsid w:val="001B0E16"/>
    <w:rsid w:val="001B0F05"/>
    <w:rsid w:val="001B1A12"/>
    <w:rsid w:val="001B2B6B"/>
    <w:rsid w:val="001B3411"/>
    <w:rsid w:val="001B49EA"/>
    <w:rsid w:val="001C16FA"/>
    <w:rsid w:val="001C216D"/>
    <w:rsid w:val="001D35E2"/>
    <w:rsid w:val="001D5499"/>
    <w:rsid w:val="001D608F"/>
    <w:rsid w:val="001E2987"/>
    <w:rsid w:val="001E3907"/>
    <w:rsid w:val="001F0510"/>
    <w:rsid w:val="001F1C79"/>
    <w:rsid w:val="001F66AD"/>
    <w:rsid w:val="001F6DFA"/>
    <w:rsid w:val="002038CE"/>
    <w:rsid w:val="0020471F"/>
    <w:rsid w:val="00207214"/>
    <w:rsid w:val="002076E0"/>
    <w:rsid w:val="00207FBA"/>
    <w:rsid w:val="002169BE"/>
    <w:rsid w:val="00217AD3"/>
    <w:rsid w:val="00230D42"/>
    <w:rsid w:val="00231661"/>
    <w:rsid w:val="00233D42"/>
    <w:rsid w:val="00234300"/>
    <w:rsid w:val="00244D12"/>
    <w:rsid w:val="00245648"/>
    <w:rsid w:val="002478C9"/>
    <w:rsid w:val="00247C6A"/>
    <w:rsid w:val="0026057C"/>
    <w:rsid w:val="0026337D"/>
    <w:rsid w:val="00267575"/>
    <w:rsid w:val="00270200"/>
    <w:rsid w:val="00270B17"/>
    <w:rsid w:val="00274228"/>
    <w:rsid w:val="00274A7E"/>
    <w:rsid w:val="00274C00"/>
    <w:rsid w:val="00274CE9"/>
    <w:rsid w:val="002829C3"/>
    <w:rsid w:val="00282FCC"/>
    <w:rsid w:val="002834D1"/>
    <w:rsid w:val="0028542D"/>
    <w:rsid w:val="0028547D"/>
    <w:rsid w:val="002917BA"/>
    <w:rsid w:val="00291987"/>
    <w:rsid w:val="00291A14"/>
    <w:rsid w:val="00292F08"/>
    <w:rsid w:val="00292FF5"/>
    <w:rsid w:val="00296F52"/>
    <w:rsid w:val="00297812"/>
    <w:rsid w:val="002A1E5D"/>
    <w:rsid w:val="002A2197"/>
    <w:rsid w:val="002A2CE7"/>
    <w:rsid w:val="002A3EA2"/>
    <w:rsid w:val="002A544B"/>
    <w:rsid w:val="002A5F75"/>
    <w:rsid w:val="002A7352"/>
    <w:rsid w:val="002B2DDC"/>
    <w:rsid w:val="002B5430"/>
    <w:rsid w:val="002B7542"/>
    <w:rsid w:val="002C18D6"/>
    <w:rsid w:val="002C4940"/>
    <w:rsid w:val="002C6998"/>
    <w:rsid w:val="002D2F39"/>
    <w:rsid w:val="002E0583"/>
    <w:rsid w:val="002E0C2D"/>
    <w:rsid w:val="002E2CF9"/>
    <w:rsid w:val="002F22CC"/>
    <w:rsid w:val="002F4FFA"/>
    <w:rsid w:val="002F5A4E"/>
    <w:rsid w:val="002F5EEB"/>
    <w:rsid w:val="002F6DEF"/>
    <w:rsid w:val="00300679"/>
    <w:rsid w:val="00300838"/>
    <w:rsid w:val="003020DD"/>
    <w:rsid w:val="003027BD"/>
    <w:rsid w:val="0030439E"/>
    <w:rsid w:val="003136A5"/>
    <w:rsid w:val="003145DF"/>
    <w:rsid w:val="00317340"/>
    <w:rsid w:val="0032087F"/>
    <w:rsid w:val="003235B8"/>
    <w:rsid w:val="003301EE"/>
    <w:rsid w:val="00331530"/>
    <w:rsid w:val="00332345"/>
    <w:rsid w:val="0033253F"/>
    <w:rsid w:val="00336574"/>
    <w:rsid w:val="00336927"/>
    <w:rsid w:val="0033786D"/>
    <w:rsid w:val="003433C0"/>
    <w:rsid w:val="00345A7A"/>
    <w:rsid w:val="00351BA0"/>
    <w:rsid w:val="0036237C"/>
    <w:rsid w:val="00362671"/>
    <w:rsid w:val="00375DA9"/>
    <w:rsid w:val="003763DC"/>
    <w:rsid w:val="0038070B"/>
    <w:rsid w:val="00381747"/>
    <w:rsid w:val="00382873"/>
    <w:rsid w:val="003832DB"/>
    <w:rsid w:val="003835ED"/>
    <w:rsid w:val="00385B73"/>
    <w:rsid w:val="00390AA1"/>
    <w:rsid w:val="00390EE0"/>
    <w:rsid w:val="003913BB"/>
    <w:rsid w:val="00393BC3"/>
    <w:rsid w:val="00393FBC"/>
    <w:rsid w:val="0039743A"/>
    <w:rsid w:val="003A03B0"/>
    <w:rsid w:val="003A18EF"/>
    <w:rsid w:val="003B004C"/>
    <w:rsid w:val="003B3D81"/>
    <w:rsid w:val="003B526C"/>
    <w:rsid w:val="003B6803"/>
    <w:rsid w:val="003B6B60"/>
    <w:rsid w:val="003C1E0A"/>
    <w:rsid w:val="003C45C4"/>
    <w:rsid w:val="003D0A54"/>
    <w:rsid w:val="003D1632"/>
    <w:rsid w:val="003D1E15"/>
    <w:rsid w:val="003D5CCC"/>
    <w:rsid w:val="003D7ABE"/>
    <w:rsid w:val="003E01B6"/>
    <w:rsid w:val="003E099D"/>
    <w:rsid w:val="003E2EC7"/>
    <w:rsid w:val="003E489D"/>
    <w:rsid w:val="003E7A7F"/>
    <w:rsid w:val="003F1020"/>
    <w:rsid w:val="003F2413"/>
    <w:rsid w:val="003F3CCE"/>
    <w:rsid w:val="003F7B84"/>
    <w:rsid w:val="00401165"/>
    <w:rsid w:val="00405C51"/>
    <w:rsid w:val="00405D1A"/>
    <w:rsid w:val="004073DA"/>
    <w:rsid w:val="00421636"/>
    <w:rsid w:val="00421ACC"/>
    <w:rsid w:val="00423A82"/>
    <w:rsid w:val="00423E0D"/>
    <w:rsid w:val="00424A28"/>
    <w:rsid w:val="00426AE1"/>
    <w:rsid w:val="00426DD3"/>
    <w:rsid w:val="00430136"/>
    <w:rsid w:val="00430FB2"/>
    <w:rsid w:val="0043248A"/>
    <w:rsid w:val="00440FF6"/>
    <w:rsid w:val="00441997"/>
    <w:rsid w:val="004462B4"/>
    <w:rsid w:val="004462B7"/>
    <w:rsid w:val="00450641"/>
    <w:rsid w:val="004537D9"/>
    <w:rsid w:val="00453E24"/>
    <w:rsid w:val="004550F8"/>
    <w:rsid w:val="00460BEB"/>
    <w:rsid w:val="00461EBE"/>
    <w:rsid w:val="00463473"/>
    <w:rsid w:val="00463584"/>
    <w:rsid w:val="00463630"/>
    <w:rsid w:val="0046420C"/>
    <w:rsid w:val="004662BA"/>
    <w:rsid w:val="004711E8"/>
    <w:rsid w:val="00473030"/>
    <w:rsid w:val="004732F3"/>
    <w:rsid w:val="004740BB"/>
    <w:rsid w:val="0047600F"/>
    <w:rsid w:val="00480F00"/>
    <w:rsid w:val="004819CA"/>
    <w:rsid w:val="00482B97"/>
    <w:rsid w:val="00482E2B"/>
    <w:rsid w:val="00487196"/>
    <w:rsid w:val="004874B2"/>
    <w:rsid w:val="00497262"/>
    <w:rsid w:val="004975BC"/>
    <w:rsid w:val="004A28B7"/>
    <w:rsid w:val="004A3CE9"/>
    <w:rsid w:val="004B107F"/>
    <w:rsid w:val="004B1225"/>
    <w:rsid w:val="004B226E"/>
    <w:rsid w:val="004B2C3A"/>
    <w:rsid w:val="004B7B5A"/>
    <w:rsid w:val="004C0651"/>
    <w:rsid w:val="004C0ECC"/>
    <w:rsid w:val="004C3D49"/>
    <w:rsid w:val="004C467E"/>
    <w:rsid w:val="004C56EA"/>
    <w:rsid w:val="004C5D9C"/>
    <w:rsid w:val="004D25BA"/>
    <w:rsid w:val="004D315F"/>
    <w:rsid w:val="004D6347"/>
    <w:rsid w:val="004D713A"/>
    <w:rsid w:val="004E028F"/>
    <w:rsid w:val="004E0CB3"/>
    <w:rsid w:val="004E18D9"/>
    <w:rsid w:val="004E2F3E"/>
    <w:rsid w:val="004E3368"/>
    <w:rsid w:val="004E52FA"/>
    <w:rsid w:val="004E742E"/>
    <w:rsid w:val="004F2FB5"/>
    <w:rsid w:val="004F3A61"/>
    <w:rsid w:val="004F3C8A"/>
    <w:rsid w:val="004F461D"/>
    <w:rsid w:val="004F5057"/>
    <w:rsid w:val="004F6DBF"/>
    <w:rsid w:val="00503459"/>
    <w:rsid w:val="005050E9"/>
    <w:rsid w:val="005064DE"/>
    <w:rsid w:val="005101C6"/>
    <w:rsid w:val="00510A32"/>
    <w:rsid w:val="00514FA4"/>
    <w:rsid w:val="00515F11"/>
    <w:rsid w:val="005165F2"/>
    <w:rsid w:val="00524AC7"/>
    <w:rsid w:val="00524B71"/>
    <w:rsid w:val="0052576F"/>
    <w:rsid w:val="005262B4"/>
    <w:rsid w:val="00527C2D"/>
    <w:rsid w:val="0053298C"/>
    <w:rsid w:val="0053472C"/>
    <w:rsid w:val="00535D0B"/>
    <w:rsid w:val="00536D85"/>
    <w:rsid w:val="00541BC2"/>
    <w:rsid w:val="00545DE3"/>
    <w:rsid w:val="005460F4"/>
    <w:rsid w:val="00547758"/>
    <w:rsid w:val="00547866"/>
    <w:rsid w:val="0055167A"/>
    <w:rsid w:val="00551F23"/>
    <w:rsid w:val="0055421C"/>
    <w:rsid w:val="005550EF"/>
    <w:rsid w:val="00560E65"/>
    <w:rsid w:val="0056172C"/>
    <w:rsid w:val="00563CEE"/>
    <w:rsid w:val="00563D06"/>
    <w:rsid w:val="005640FB"/>
    <w:rsid w:val="00565EE2"/>
    <w:rsid w:val="00566217"/>
    <w:rsid w:val="005703DB"/>
    <w:rsid w:val="00570ABE"/>
    <w:rsid w:val="00571507"/>
    <w:rsid w:val="00571573"/>
    <w:rsid w:val="00572D99"/>
    <w:rsid w:val="00575229"/>
    <w:rsid w:val="005752D0"/>
    <w:rsid w:val="005762FE"/>
    <w:rsid w:val="005817A0"/>
    <w:rsid w:val="005827C1"/>
    <w:rsid w:val="00583D88"/>
    <w:rsid w:val="005876B9"/>
    <w:rsid w:val="00592C46"/>
    <w:rsid w:val="00594A6F"/>
    <w:rsid w:val="005954AA"/>
    <w:rsid w:val="00597479"/>
    <w:rsid w:val="005A238C"/>
    <w:rsid w:val="005A58A9"/>
    <w:rsid w:val="005A689F"/>
    <w:rsid w:val="005B0183"/>
    <w:rsid w:val="005B019C"/>
    <w:rsid w:val="005B3E0C"/>
    <w:rsid w:val="005B4AA7"/>
    <w:rsid w:val="005B4E87"/>
    <w:rsid w:val="005C1760"/>
    <w:rsid w:val="005C3235"/>
    <w:rsid w:val="005C427F"/>
    <w:rsid w:val="005C7B06"/>
    <w:rsid w:val="005D1517"/>
    <w:rsid w:val="005D447E"/>
    <w:rsid w:val="005D482F"/>
    <w:rsid w:val="005D5A53"/>
    <w:rsid w:val="005D614D"/>
    <w:rsid w:val="005D7C6F"/>
    <w:rsid w:val="005E0904"/>
    <w:rsid w:val="005E12BF"/>
    <w:rsid w:val="005E1ADB"/>
    <w:rsid w:val="005E34D5"/>
    <w:rsid w:val="005E4878"/>
    <w:rsid w:val="005E543D"/>
    <w:rsid w:val="005F17A8"/>
    <w:rsid w:val="005F3CAC"/>
    <w:rsid w:val="005F6645"/>
    <w:rsid w:val="005F72BF"/>
    <w:rsid w:val="005F79F7"/>
    <w:rsid w:val="005F7D43"/>
    <w:rsid w:val="00601E9A"/>
    <w:rsid w:val="0060698E"/>
    <w:rsid w:val="00610811"/>
    <w:rsid w:val="00611A2B"/>
    <w:rsid w:val="00611D1E"/>
    <w:rsid w:val="0061512B"/>
    <w:rsid w:val="00620608"/>
    <w:rsid w:val="00620CF9"/>
    <w:rsid w:val="00626E90"/>
    <w:rsid w:val="006301E7"/>
    <w:rsid w:val="00630951"/>
    <w:rsid w:val="00630ADC"/>
    <w:rsid w:val="0063128A"/>
    <w:rsid w:val="00637101"/>
    <w:rsid w:val="0064060E"/>
    <w:rsid w:val="00642947"/>
    <w:rsid w:val="00644F50"/>
    <w:rsid w:val="006468A8"/>
    <w:rsid w:val="006501F0"/>
    <w:rsid w:val="00652095"/>
    <w:rsid w:val="00656EFE"/>
    <w:rsid w:val="00666B13"/>
    <w:rsid w:val="00685B58"/>
    <w:rsid w:val="00690829"/>
    <w:rsid w:val="00691B64"/>
    <w:rsid w:val="0069307D"/>
    <w:rsid w:val="006A43C7"/>
    <w:rsid w:val="006B564F"/>
    <w:rsid w:val="006B6640"/>
    <w:rsid w:val="006B6763"/>
    <w:rsid w:val="006B6B7F"/>
    <w:rsid w:val="006C0238"/>
    <w:rsid w:val="006C079C"/>
    <w:rsid w:val="006C1DBA"/>
    <w:rsid w:val="006C4D3C"/>
    <w:rsid w:val="006C6F85"/>
    <w:rsid w:val="006D1994"/>
    <w:rsid w:val="006D1CB8"/>
    <w:rsid w:val="006E097C"/>
    <w:rsid w:val="006E3FCC"/>
    <w:rsid w:val="006E4FB8"/>
    <w:rsid w:val="006E6D5A"/>
    <w:rsid w:val="006F0F2A"/>
    <w:rsid w:val="006F3671"/>
    <w:rsid w:val="006F3C94"/>
    <w:rsid w:val="006F56E5"/>
    <w:rsid w:val="006F5B02"/>
    <w:rsid w:val="0070136E"/>
    <w:rsid w:val="00701F87"/>
    <w:rsid w:val="00704CB6"/>
    <w:rsid w:val="00711B2C"/>
    <w:rsid w:val="007231FB"/>
    <w:rsid w:val="00724996"/>
    <w:rsid w:val="00727026"/>
    <w:rsid w:val="00730328"/>
    <w:rsid w:val="0073178F"/>
    <w:rsid w:val="00734AB1"/>
    <w:rsid w:val="0074039E"/>
    <w:rsid w:val="0074058C"/>
    <w:rsid w:val="00741FD0"/>
    <w:rsid w:val="0074311F"/>
    <w:rsid w:val="00747D8F"/>
    <w:rsid w:val="00751A2D"/>
    <w:rsid w:val="00751EFC"/>
    <w:rsid w:val="00751F50"/>
    <w:rsid w:val="00751FE8"/>
    <w:rsid w:val="00756C15"/>
    <w:rsid w:val="007576E4"/>
    <w:rsid w:val="0076070E"/>
    <w:rsid w:val="007630CA"/>
    <w:rsid w:val="00771BA3"/>
    <w:rsid w:val="00771F61"/>
    <w:rsid w:val="00773DCA"/>
    <w:rsid w:val="00777E8F"/>
    <w:rsid w:val="00784E61"/>
    <w:rsid w:val="007853FF"/>
    <w:rsid w:val="007854DD"/>
    <w:rsid w:val="00787988"/>
    <w:rsid w:val="00791291"/>
    <w:rsid w:val="0079339F"/>
    <w:rsid w:val="00794AFE"/>
    <w:rsid w:val="00794D92"/>
    <w:rsid w:val="00797B6F"/>
    <w:rsid w:val="007A62EA"/>
    <w:rsid w:val="007B35E8"/>
    <w:rsid w:val="007B550B"/>
    <w:rsid w:val="007B5AD6"/>
    <w:rsid w:val="007B6F95"/>
    <w:rsid w:val="007B6FFD"/>
    <w:rsid w:val="007C2CC1"/>
    <w:rsid w:val="007C2DAF"/>
    <w:rsid w:val="007C3062"/>
    <w:rsid w:val="007C4820"/>
    <w:rsid w:val="007C7438"/>
    <w:rsid w:val="007C750A"/>
    <w:rsid w:val="007D3045"/>
    <w:rsid w:val="007D6E0A"/>
    <w:rsid w:val="007E116D"/>
    <w:rsid w:val="007E3C9F"/>
    <w:rsid w:val="007F0269"/>
    <w:rsid w:val="007F04DA"/>
    <w:rsid w:val="007F0764"/>
    <w:rsid w:val="007F3B6A"/>
    <w:rsid w:val="007F61B3"/>
    <w:rsid w:val="007F6E6C"/>
    <w:rsid w:val="007F7C10"/>
    <w:rsid w:val="008010A2"/>
    <w:rsid w:val="008013E8"/>
    <w:rsid w:val="00803A51"/>
    <w:rsid w:val="008045E5"/>
    <w:rsid w:val="00807C3C"/>
    <w:rsid w:val="008113AE"/>
    <w:rsid w:val="00814A41"/>
    <w:rsid w:val="00814ED8"/>
    <w:rsid w:val="00815BD4"/>
    <w:rsid w:val="0081702C"/>
    <w:rsid w:val="008200C5"/>
    <w:rsid w:val="00820763"/>
    <w:rsid w:val="008215B9"/>
    <w:rsid w:val="008241B0"/>
    <w:rsid w:val="00825A86"/>
    <w:rsid w:val="00825F00"/>
    <w:rsid w:val="00831A09"/>
    <w:rsid w:val="00832A22"/>
    <w:rsid w:val="008337C0"/>
    <w:rsid w:val="008410D8"/>
    <w:rsid w:val="00843602"/>
    <w:rsid w:val="00844FE6"/>
    <w:rsid w:val="00847733"/>
    <w:rsid w:val="00850ADD"/>
    <w:rsid w:val="00853AAA"/>
    <w:rsid w:val="00854A39"/>
    <w:rsid w:val="00855BA5"/>
    <w:rsid w:val="00873126"/>
    <w:rsid w:val="00884E2F"/>
    <w:rsid w:val="0088505F"/>
    <w:rsid w:val="008943D8"/>
    <w:rsid w:val="00897022"/>
    <w:rsid w:val="008A3D78"/>
    <w:rsid w:val="008A7E1C"/>
    <w:rsid w:val="008B32C9"/>
    <w:rsid w:val="008B3D88"/>
    <w:rsid w:val="008B57D1"/>
    <w:rsid w:val="008B6D96"/>
    <w:rsid w:val="008C04D6"/>
    <w:rsid w:val="008C1879"/>
    <w:rsid w:val="008C68C5"/>
    <w:rsid w:val="008C7907"/>
    <w:rsid w:val="008D04FA"/>
    <w:rsid w:val="008D269A"/>
    <w:rsid w:val="008D2A1D"/>
    <w:rsid w:val="008D4322"/>
    <w:rsid w:val="008D511B"/>
    <w:rsid w:val="008D759F"/>
    <w:rsid w:val="008E0FAF"/>
    <w:rsid w:val="008E1858"/>
    <w:rsid w:val="008E188A"/>
    <w:rsid w:val="008E3CF8"/>
    <w:rsid w:val="008E67F4"/>
    <w:rsid w:val="008E6C25"/>
    <w:rsid w:val="008F00FA"/>
    <w:rsid w:val="008F5C2C"/>
    <w:rsid w:val="008F6768"/>
    <w:rsid w:val="008F7BCC"/>
    <w:rsid w:val="00901B30"/>
    <w:rsid w:val="00906460"/>
    <w:rsid w:val="009101A0"/>
    <w:rsid w:val="0091338B"/>
    <w:rsid w:val="00914A9E"/>
    <w:rsid w:val="00915258"/>
    <w:rsid w:val="00915E5F"/>
    <w:rsid w:val="009161E2"/>
    <w:rsid w:val="00917669"/>
    <w:rsid w:val="009176E2"/>
    <w:rsid w:val="00920E8A"/>
    <w:rsid w:val="009225D5"/>
    <w:rsid w:val="00923257"/>
    <w:rsid w:val="0092430C"/>
    <w:rsid w:val="009244D6"/>
    <w:rsid w:val="00926BE6"/>
    <w:rsid w:val="00930376"/>
    <w:rsid w:val="00931438"/>
    <w:rsid w:val="00932960"/>
    <w:rsid w:val="00934EB3"/>
    <w:rsid w:val="00935D6B"/>
    <w:rsid w:val="00936840"/>
    <w:rsid w:val="00940ED4"/>
    <w:rsid w:val="009412D9"/>
    <w:rsid w:val="009509E1"/>
    <w:rsid w:val="00951590"/>
    <w:rsid w:val="00952F57"/>
    <w:rsid w:val="00953604"/>
    <w:rsid w:val="00953A3F"/>
    <w:rsid w:val="00954B87"/>
    <w:rsid w:val="009558F3"/>
    <w:rsid w:val="0096162E"/>
    <w:rsid w:val="00962403"/>
    <w:rsid w:val="009648B1"/>
    <w:rsid w:val="00965435"/>
    <w:rsid w:val="00965F5D"/>
    <w:rsid w:val="0097011A"/>
    <w:rsid w:val="00970C77"/>
    <w:rsid w:val="00971791"/>
    <w:rsid w:val="009802B9"/>
    <w:rsid w:val="0098370A"/>
    <w:rsid w:val="009845E5"/>
    <w:rsid w:val="00984ABA"/>
    <w:rsid w:val="00984B46"/>
    <w:rsid w:val="00984E46"/>
    <w:rsid w:val="00986652"/>
    <w:rsid w:val="00986BFC"/>
    <w:rsid w:val="009950A0"/>
    <w:rsid w:val="00996057"/>
    <w:rsid w:val="009A0763"/>
    <w:rsid w:val="009A359C"/>
    <w:rsid w:val="009A432D"/>
    <w:rsid w:val="009A7016"/>
    <w:rsid w:val="009A73C2"/>
    <w:rsid w:val="009B167E"/>
    <w:rsid w:val="009B6482"/>
    <w:rsid w:val="009B7502"/>
    <w:rsid w:val="009C2342"/>
    <w:rsid w:val="009C2CA6"/>
    <w:rsid w:val="009C2EAC"/>
    <w:rsid w:val="009C38A1"/>
    <w:rsid w:val="009C3EE8"/>
    <w:rsid w:val="009C52D8"/>
    <w:rsid w:val="009D072B"/>
    <w:rsid w:val="009D0C85"/>
    <w:rsid w:val="009D3B86"/>
    <w:rsid w:val="009D5973"/>
    <w:rsid w:val="009D5AA4"/>
    <w:rsid w:val="009D6043"/>
    <w:rsid w:val="009E011B"/>
    <w:rsid w:val="009E21C9"/>
    <w:rsid w:val="009E3DF3"/>
    <w:rsid w:val="009E40E4"/>
    <w:rsid w:val="009E6CBA"/>
    <w:rsid w:val="009E749C"/>
    <w:rsid w:val="009E7899"/>
    <w:rsid w:val="009E7C4F"/>
    <w:rsid w:val="009F0481"/>
    <w:rsid w:val="009F2641"/>
    <w:rsid w:val="009F652E"/>
    <w:rsid w:val="009F65CF"/>
    <w:rsid w:val="009F6769"/>
    <w:rsid w:val="009F76EC"/>
    <w:rsid w:val="00A00AF5"/>
    <w:rsid w:val="00A025CD"/>
    <w:rsid w:val="00A02648"/>
    <w:rsid w:val="00A02A14"/>
    <w:rsid w:val="00A108B6"/>
    <w:rsid w:val="00A13A5B"/>
    <w:rsid w:val="00A144BE"/>
    <w:rsid w:val="00A2078E"/>
    <w:rsid w:val="00A215E1"/>
    <w:rsid w:val="00A21810"/>
    <w:rsid w:val="00A27223"/>
    <w:rsid w:val="00A2778E"/>
    <w:rsid w:val="00A429BE"/>
    <w:rsid w:val="00A43D2D"/>
    <w:rsid w:val="00A45F39"/>
    <w:rsid w:val="00A4687A"/>
    <w:rsid w:val="00A50FD3"/>
    <w:rsid w:val="00A5363F"/>
    <w:rsid w:val="00A5422C"/>
    <w:rsid w:val="00A55C2B"/>
    <w:rsid w:val="00A63CAE"/>
    <w:rsid w:val="00A70132"/>
    <w:rsid w:val="00A70E27"/>
    <w:rsid w:val="00A80677"/>
    <w:rsid w:val="00A84933"/>
    <w:rsid w:val="00A851C1"/>
    <w:rsid w:val="00A86A6E"/>
    <w:rsid w:val="00A90D63"/>
    <w:rsid w:val="00A91A46"/>
    <w:rsid w:val="00A974C8"/>
    <w:rsid w:val="00AA17C0"/>
    <w:rsid w:val="00AA2FA7"/>
    <w:rsid w:val="00AA3937"/>
    <w:rsid w:val="00AA4482"/>
    <w:rsid w:val="00AA6B1C"/>
    <w:rsid w:val="00AA7A5C"/>
    <w:rsid w:val="00AB0930"/>
    <w:rsid w:val="00AB21E4"/>
    <w:rsid w:val="00AB44C8"/>
    <w:rsid w:val="00AB68A1"/>
    <w:rsid w:val="00AC05B2"/>
    <w:rsid w:val="00AD06B7"/>
    <w:rsid w:val="00AE05AB"/>
    <w:rsid w:val="00AE3B96"/>
    <w:rsid w:val="00AE55A4"/>
    <w:rsid w:val="00AE5A01"/>
    <w:rsid w:val="00AE6245"/>
    <w:rsid w:val="00AE6FE1"/>
    <w:rsid w:val="00AF06A9"/>
    <w:rsid w:val="00AF214D"/>
    <w:rsid w:val="00AF24FF"/>
    <w:rsid w:val="00AF5A72"/>
    <w:rsid w:val="00AF7C6C"/>
    <w:rsid w:val="00B0547D"/>
    <w:rsid w:val="00B0698E"/>
    <w:rsid w:val="00B115B9"/>
    <w:rsid w:val="00B11AFB"/>
    <w:rsid w:val="00B143C3"/>
    <w:rsid w:val="00B14AE7"/>
    <w:rsid w:val="00B1779D"/>
    <w:rsid w:val="00B17E8C"/>
    <w:rsid w:val="00B21060"/>
    <w:rsid w:val="00B2564B"/>
    <w:rsid w:val="00B307C1"/>
    <w:rsid w:val="00B31108"/>
    <w:rsid w:val="00B339F2"/>
    <w:rsid w:val="00B35585"/>
    <w:rsid w:val="00B3724B"/>
    <w:rsid w:val="00B40211"/>
    <w:rsid w:val="00B43005"/>
    <w:rsid w:val="00B45AB8"/>
    <w:rsid w:val="00B45D06"/>
    <w:rsid w:val="00B479CF"/>
    <w:rsid w:val="00B539A3"/>
    <w:rsid w:val="00B540E5"/>
    <w:rsid w:val="00B55CE1"/>
    <w:rsid w:val="00B55DFD"/>
    <w:rsid w:val="00B61386"/>
    <w:rsid w:val="00B62DF8"/>
    <w:rsid w:val="00B71632"/>
    <w:rsid w:val="00B77785"/>
    <w:rsid w:val="00B7785D"/>
    <w:rsid w:val="00B80C6B"/>
    <w:rsid w:val="00B81887"/>
    <w:rsid w:val="00B81CA0"/>
    <w:rsid w:val="00B86011"/>
    <w:rsid w:val="00B87B80"/>
    <w:rsid w:val="00B91892"/>
    <w:rsid w:val="00B918E5"/>
    <w:rsid w:val="00B91A07"/>
    <w:rsid w:val="00B91CCC"/>
    <w:rsid w:val="00B9284E"/>
    <w:rsid w:val="00B94946"/>
    <w:rsid w:val="00B95049"/>
    <w:rsid w:val="00B96012"/>
    <w:rsid w:val="00B97413"/>
    <w:rsid w:val="00B97E13"/>
    <w:rsid w:val="00BA0E81"/>
    <w:rsid w:val="00BA21E2"/>
    <w:rsid w:val="00BA6914"/>
    <w:rsid w:val="00BB2688"/>
    <w:rsid w:val="00BC0A8E"/>
    <w:rsid w:val="00BC4BDE"/>
    <w:rsid w:val="00BC724E"/>
    <w:rsid w:val="00BD5169"/>
    <w:rsid w:val="00BD631C"/>
    <w:rsid w:val="00BD71F3"/>
    <w:rsid w:val="00BD75F6"/>
    <w:rsid w:val="00BE16B5"/>
    <w:rsid w:val="00BE47ED"/>
    <w:rsid w:val="00BE5D7C"/>
    <w:rsid w:val="00BF47A5"/>
    <w:rsid w:val="00BF4B1A"/>
    <w:rsid w:val="00C01EB1"/>
    <w:rsid w:val="00C02706"/>
    <w:rsid w:val="00C027C9"/>
    <w:rsid w:val="00C0576F"/>
    <w:rsid w:val="00C11B2C"/>
    <w:rsid w:val="00C123F4"/>
    <w:rsid w:val="00C15B9E"/>
    <w:rsid w:val="00C33729"/>
    <w:rsid w:val="00C36B20"/>
    <w:rsid w:val="00C41932"/>
    <w:rsid w:val="00C52CE9"/>
    <w:rsid w:val="00C55611"/>
    <w:rsid w:val="00C61C8C"/>
    <w:rsid w:val="00C61FF9"/>
    <w:rsid w:val="00C6424E"/>
    <w:rsid w:val="00C709FA"/>
    <w:rsid w:val="00C71E5F"/>
    <w:rsid w:val="00C72B7D"/>
    <w:rsid w:val="00C73993"/>
    <w:rsid w:val="00C77AAB"/>
    <w:rsid w:val="00C832FF"/>
    <w:rsid w:val="00C84B45"/>
    <w:rsid w:val="00C84E8E"/>
    <w:rsid w:val="00C86C19"/>
    <w:rsid w:val="00C871D7"/>
    <w:rsid w:val="00C92117"/>
    <w:rsid w:val="00C95528"/>
    <w:rsid w:val="00C9768F"/>
    <w:rsid w:val="00CA0AF5"/>
    <w:rsid w:val="00CA0FDC"/>
    <w:rsid w:val="00CA20D4"/>
    <w:rsid w:val="00CA3EDE"/>
    <w:rsid w:val="00CA70AA"/>
    <w:rsid w:val="00CA7DB4"/>
    <w:rsid w:val="00CB1A24"/>
    <w:rsid w:val="00CB591B"/>
    <w:rsid w:val="00CB664D"/>
    <w:rsid w:val="00CB7525"/>
    <w:rsid w:val="00CB7EE5"/>
    <w:rsid w:val="00CC09D9"/>
    <w:rsid w:val="00CC0F15"/>
    <w:rsid w:val="00CC3300"/>
    <w:rsid w:val="00CC4102"/>
    <w:rsid w:val="00CC5EA5"/>
    <w:rsid w:val="00CC6757"/>
    <w:rsid w:val="00CC79C3"/>
    <w:rsid w:val="00CC7A62"/>
    <w:rsid w:val="00CD171D"/>
    <w:rsid w:val="00CD3DDF"/>
    <w:rsid w:val="00CD3E7C"/>
    <w:rsid w:val="00CD5264"/>
    <w:rsid w:val="00CE15AA"/>
    <w:rsid w:val="00CF36B1"/>
    <w:rsid w:val="00CF7111"/>
    <w:rsid w:val="00CF7A48"/>
    <w:rsid w:val="00CF7B83"/>
    <w:rsid w:val="00D0397A"/>
    <w:rsid w:val="00D04456"/>
    <w:rsid w:val="00D0553A"/>
    <w:rsid w:val="00D061A9"/>
    <w:rsid w:val="00D1774A"/>
    <w:rsid w:val="00D20BD0"/>
    <w:rsid w:val="00D231ED"/>
    <w:rsid w:val="00D2395C"/>
    <w:rsid w:val="00D261AF"/>
    <w:rsid w:val="00D26476"/>
    <w:rsid w:val="00D26C29"/>
    <w:rsid w:val="00D30B44"/>
    <w:rsid w:val="00D31170"/>
    <w:rsid w:val="00D324B0"/>
    <w:rsid w:val="00D37640"/>
    <w:rsid w:val="00D41DF4"/>
    <w:rsid w:val="00D453BE"/>
    <w:rsid w:val="00D47367"/>
    <w:rsid w:val="00D54B57"/>
    <w:rsid w:val="00D54F5F"/>
    <w:rsid w:val="00D55064"/>
    <w:rsid w:val="00D61A1F"/>
    <w:rsid w:val="00D61B52"/>
    <w:rsid w:val="00D62309"/>
    <w:rsid w:val="00D62DD2"/>
    <w:rsid w:val="00D63362"/>
    <w:rsid w:val="00D640F0"/>
    <w:rsid w:val="00D671F4"/>
    <w:rsid w:val="00D679EC"/>
    <w:rsid w:val="00D7210B"/>
    <w:rsid w:val="00D74230"/>
    <w:rsid w:val="00D7432D"/>
    <w:rsid w:val="00D76664"/>
    <w:rsid w:val="00D77BF5"/>
    <w:rsid w:val="00D77DC6"/>
    <w:rsid w:val="00D834DB"/>
    <w:rsid w:val="00D86A4E"/>
    <w:rsid w:val="00D87DE0"/>
    <w:rsid w:val="00D918DA"/>
    <w:rsid w:val="00D97BAB"/>
    <w:rsid w:val="00D97D1D"/>
    <w:rsid w:val="00DB2BFC"/>
    <w:rsid w:val="00DB3793"/>
    <w:rsid w:val="00DB61BF"/>
    <w:rsid w:val="00DB6CA6"/>
    <w:rsid w:val="00DB7B85"/>
    <w:rsid w:val="00DC0B9E"/>
    <w:rsid w:val="00DC0F9B"/>
    <w:rsid w:val="00DC506B"/>
    <w:rsid w:val="00DC650A"/>
    <w:rsid w:val="00DC7918"/>
    <w:rsid w:val="00DC7E69"/>
    <w:rsid w:val="00DD2459"/>
    <w:rsid w:val="00DD45C4"/>
    <w:rsid w:val="00DD7652"/>
    <w:rsid w:val="00DD7C4A"/>
    <w:rsid w:val="00DE0806"/>
    <w:rsid w:val="00DE0BAC"/>
    <w:rsid w:val="00DE3578"/>
    <w:rsid w:val="00DE35FA"/>
    <w:rsid w:val="00DE3873"/>
    <w:rsid w:val="00DE4EC2"/>
    <w:rsid w:val="00DE6A56"/>
    <w:rsid w:val="00DE6EF5"/>
    <w:rsid w:val="00DF0237"/>
    <w:rsid w:val="00DF0C6B"/>
    <w:rsid w:val="00DF26DC"/>
    <w:rsid w:val="00DF29D1"/>
    <w:rsid w:val="00DF3CC2"/>
    <w:rsid w:val="00DF71B9"/>
    <w:rsid w:val="00E02935"/>
    <w:rsid w:val="00E03AB5"/>
    <w:rsid w:val="00E04F41"/>
    <w:rsid w:val="00E0546C"/>
    <w:rsid w:val="00E10CAC"/>
    <w:rsid w:val="00E12BA3"/>
    <w:rsid w:val="00E13FFF"/>
    <w:rsid w:val="00E20876"/>
    <w:rsid w:val="00E220F2"/>
    <w:rsid w:val="00E22912"/>
    <w:rsid w:val="00E272F9"/>
    <w:rsid w:val="00E31458"/>
    <w:rsid w:val="00E3299E"/>
    <w:rsid w:val="00E345FF"/>
    <w:rsid w:val="00E352B1"/>
    <w:rsid w:val="00E3627E"/>
    <w:rsid w:val="00E37F15"/>
    <w:rsid w:val="00E468C2"/>
    <w:rsid w:val="00E504A4"/>
    <w:rsid w:val="00E55027"/>
    <w:rsid w:val="00E55150"/>
    <w:rsid w:val="00E55F80"/>
    <w:rsid w:val="00E57BB4"/>
    <w:rsid w:val="00E62846"/>
    <w:rsid w:val="00E62879"/>
    <w:rsid w:val="00E638F1"/>
    <w:rsid w:val="00E70835"/>
    <w:rsid w:val="00E765FC"/>
    <w:rsid w:val="00E804D1"/>
    <w:rsid w:val="00E81329"/>
    <w:rsid w:val="00E81BBD"/>
    <w:rsid w:val="00E83F8E"/>
    <w:rsid w:val="00E84455"/>
    <w:rsid w:val="00E863A3"/>
    <w:rsid w:val="00E872E7"/>
    <w:rsid w:val="00E9149D"/>
    <w:rsid w:val="00E92117"/>
    <w:rsid w:val="00E93587"/>
    <w:rsid w:val="00EA0200"/>
    <w:rsid w:val="00EA1951"/>
    <w:rsid w:val="00EA35B7"/>
    <w:rsid w:val="00EA3618"/>
    <w:rsid w:val="00EA3EFC"/>
    <w:rsid w:val="00EA4384"/>
    <w:rsid w:val="00EA4976"/>
    <w:rsid w:val="00EA563B"/>
    <w:rsid w:val="00EA5C7C"/>
    <w:rsid w:val="00EA7416"/>
    <w:rsid w:val="00EA7430"/>
    <w:rsid w:val="00EA7F44"/>
    <w:rsid w:val="00EB1078"/>
    <w:rsid w:val="00EB133F"/>
    <w:rsid w:val="00EB1EFF"/>
    <w:rsid w:val="00EB3FD8"/>
    <w:rsid w:val="00EB4B5C"/>
    <w:rsid w:val="00EB55B4"/>
    <w:rsid w:val="00EC05A9"/>
    <w:rsid w:val="00EC4B96"/>
    <w:rsid w:val="00EC687C"/>
    <w:rsid w:val="00ED5162"/>
    <w:rsid w:val="00ED6931"/>
    <w:rsid w:val="00EE06D2"/>
    <w:rsid w:val="00EE44D3"/>
    <w:rsid w:val="00EE606B"/>
    <w:rsid w:val="00EF0C38"/>
    <w:rsid w:val="00EF231C"/>
    <w:rsid w:val="00EF298D"/>
    <w:rsid w:val="00EF65DD"/>
    <w:rsid w:val="00EF694B"/>
    <w:rsid w:val="00EF7685"/>
    <w:rsid w:val="00F001D9"/>
    <w:rsid w:val="00F012B6"/>
    <w:rsid w:val="00F0166E"/>
    <w:rsid w:val="00F018D2"/>
    <w:rsid w:val="00F034C5"/>
    <w:rsid w:val="00F03C9B"/>
    <w:rsid w:val="00F059CE"/>
    <w:rsid w:val="00F07F7A"/>
    <w:rsid w:val="00F10383"/>
    <w:rsid w:val="00F235C4"/>
    <w:rsid w:val="00F24C2A"/>
    <w:rsid w:val="00F24E56"/>
    <w:rsid w:val="00F30629"/>
    <w:rsid w:val="00F31F6A"/>
    <w:rsid w:val="00F32DBE"/>
    <w:rsid w:val="00F34C8B"/>
    <w:rsid w:val="00F40F63"/>
    <w:rsid w:val="00F414D3"/>
    <w:rsid w:val="00F41B8F"/>
    <w:rsid w:val="00F4354D"/>
    <w:rsid w:val="00F438D3"/>
    <w:rsid w:val="00F44345"/>
    <w:rsid w:val="00F470D6"/>
    <w:rsid w:val="00F520B9"/>
    <w:rsid w:val="00F553CC"/>
    <w:rsid w:val="00F61DC1"/>
    <w:rsid w:val="00F62F2B"/>
    <w:rsid w:val="00F6318F"/>
    <w:rsid w:val="00F67529"/>
    <w:rsid w:val="00F730EF"/>
    <w:rsid w:val="00F7524C"/>
    <w:rsid w:val="00F82B06"/>
    <w:rsid w:val="00F82B95"/>
    <w:rsid w:val="00F8671F"/>
    <w:rsid w:val="00F868C9"/>
    <w:rsid w:val="00F920E8"/>
    <w:rsid w:val="00F92E78"/>
    <w:rsid w:val="00F92EEE"/>
    <w:rsid w:val="00F94276"/>
    <w:rsid w:val="00F950FA"/>
    <w:rsid w:val="00F957F0"/>
    <w:rsid w:val="00F96F68"/>
    <w:rsid w:val="00F97BAE"/>
    <w:rsid w:val="00FA3B55"/>
    <w:rsid w:val="00FA4262"/>
    <w:rsid w:val="00FA6343"/>
    <w:rsid w:val="00FA7FCC"/>
    <w:rsid w:val="00FB0531"/>
    <w:rsid w:val="00FB09EC"/>
    <w:rsid w:val="00FB1C69"/>
    <w:rsid w:val="00FB3326"/>
    <w:rsid w:val="00FB6BE7"/>
    <w:rsid w:val="00FC0476"/>
    <w:rsid w:val="00FC06D2"/>
    <w:rsid w:val="00FC120C"/>
    <w:rsid w:val="00FC1D88"/>
    <w:rsid w:val="00FC6279"/>
    <w:rsid w:val="00FD014B"/>
    <w:rsid w:val="00FD3CCE"/>
    <w:rsid w:val="00FD48A9"/>
    <w:rsid w:val="00FD5BF6"/>
    <w:rsid w:val="00FE674F"/>
    <w:rsid w:val="00FF2204"/>
    <w:rsid w:val="00FF3342"/>
    <w:rsid w:val="00FF7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B0176A"/>
  <w15:docId w15:val="{6E0DF527-F834-4EB2-B767-EC25924BF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AF5"/>
    <w:pPr>
      <w:spacing w:after="200" w:line="276" w:lineRule="auto"/>
    </w:pPr>
    <w:rPr>
      <w:rFonts w:ascii="Calibri" w:eastAsia="Times New Roman" w:hAnsi="Calibri" w:cs="Times New Roman"/>
      <w:lang w:eastAsia="ru-RU"/>
    </w:rPr>
  </w:style>
  <w:style w:type="paragraph" w:styleId="2">
    <w:name w:val="heading 2"/>
    <w:basedOn w:val="a"/>
    <w:link w:val="20"/>
    <w:uiPriority w:val="9"/>
    <w:qFormat/>
    <w:rsid w:val="008F00FA"/>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40FB"/>
    <w:rPr>
      <w:color w:val="0563C1"/>
      <w:u w:val="single"/>
    </w:rPr>
  </w:style>
  <w:style w:type="character" w:styleId="a4">
    <w:name w:val="FollowedHyperlink"/>
    <w:basedOn w:val="a0"/>
    <w:uiPriority w:val="99"/>
    <w:semiHidden/>
    <w:unhideWhenUsed/>
    <w:rsid w:val="005640FB"/>
    <w:rPr>
      <w:color w:val="954F72"/>
      <w:u w:val="single"/>
    </w:rPr>
  </w:style>
  <w:style w:type="paragraph" w:customStyle="1" w:styleId="xl61">
    <w:name w:val="xl6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2">
    <w:name w:val="xl62"/>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63">
    <w:name w:val="xl63"/>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4">
    <w:name w:val="xl6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65">
    <w:name w:val="xl65"/>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0"/>
      <w:szCs w:val="20"/>
    </w:rPr>
  </w:style>
  <w:style w:type="paragraph" w:customStyle="1" w:styleId="xl66">
    <w:name w:val="xl66"/>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0"/>
      <w:szCs w:val="20"/>
    </w:rPr>
  </w:style>
  <w:style w:type="paragraph" w:customStyle="1" w:styleId="xl67">
    <w:name w:val="xl67"/>
    <w:basedOn w:val="a"/>
    <w:rsid w:val="005640FB"/>
    <w:pPr>
      <w:spacing w:before="100" w:beforeAutospacing="1" w:after="100" w:afterAutospacing="1" w:line="240" w:lineRule="auto"/>
      <w:textAlignment w:val="top"/>
    </w:pPr>
    <w:rPr>
      <w:rFonts w:ascii="Times New Roman" w:hAnsi="Times New Roman"/>
      <w:sz w:val="24"/>
      <w:szCs w:val="24"/>
    </w:rPr>
  </w:style>
  <w:style w:type="paragraph" w:customStyle="1" w:styleId="xl68">
    <w:name w:val="xl6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9">
    <w:name w:val="xl69"/>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0">
    <w:name w:val="xl7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1">
    <w:name w:val="xl71"/>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2">
    <w:name w:val="xl7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a"/>
    <w:rsid w:val="005640F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74">
    <w:name w:val="xl74"/>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76">
    <w:name w:val="xl76"/>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000000"/>
    </w:rPr>
  </w:style>
  <w:style w:type="paragraph" w:customStyle="1" w:styleId="xl77">
    <w:name w:val="xl7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rPr>
  </w:style>
  <w:style w:type="paragraph" w:customStyle="1" w:styleId="xl78">
    <w:name w:val="xl78"/>
    <w:basedOn w:val="a"/>
    <w:rsid w:val="005640FB"/>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9">
    <w:name w:val="xl79"/>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80">
    <w:name w:val="xl8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81">
    <w:name w:val="xl8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2">
    <w:name w:val="xl82"/>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3">
    <w:name w:val="xl83"/>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4">
    <w:name w:val="xl8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000000"/>
    </w:rPr>
  </w:style>
  <w:style w:type="paragraph" w:customStyle="1" w:styleId="xl86">
    <w:name w:val="xl86"/>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7">
    <w:name w:val="xl8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88">
    <w:name w:val="xl8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9">
    <w:name w:val="xl89"/>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0">
    <w:name w:val="xl90"/>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rPr>
  </w:style>
  <w:style w:type="paragraph" w:customStyle="1" w:styleId="xl91">
    <w:name w:val="xl9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rPr>
  </w:style>
  <w:style w:type="paragraph" w:customStyle="1" w:styleId="xl92">
    <w:name w:val="xl9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rPr>
  </w:style>
  <w:style w:type="paragraph" w:customStyle="1" w:styleId="xl93">
    <w:name w:val="xl93"/>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94">
    <w:name w:val="xl94"/>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96">
    <w:name w:val="xl96"/>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97">
    <w:name w:val="xl9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8">
    <w:name w:val="xl9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9">
    <w:name w:val="xl99"/>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100">
    <w:name w:val="xl10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1">
    <w:name w:val="xl10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rPr>
  </w:style>
  <w:style w:type="paragraph" w:customStyle="1" w:styleId="xl102">
    <w:name w:val="xl10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03">
    <w:name w:val="xl103"/>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4">
    <w:name w:val="xl10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rPr>
  </w:style>
  <w:style w:type="paragraph" w:customStyle="1" w:styleId="xl105">
    <w:name w:val="xl105"/>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6">
    <w:name w:val="xl106"/>
    <w:basedOn w:val="a"/>
    <w:rsid w:val="00BA6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07">
    <w:name w:val="xl107"/>
    <w:basedOn w:val="a"/>
    <w:rsid w:val="00BA6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08">
    <w:name w:val="xl108"/>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09">
    <w:name w:val="xl109"/>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10">
    <w:name w:val="xl110"/>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1">
    <w:name w:val="xl111"/>
    <w:basedOn w:val="a"/>
    <w:rsid w:val="00BA6914"/>
    <w:pPr>
      <w:spacing w:before="100" w:beforeAutospacing="1" w:after="100" w:afterAutospacing="1" w:line="240" w:lineRule="auto"/>
    </w:pPr>
    <w:rPr>
      <w:rFonts w:ascii="Times New Roman" w:hAnsi="Times New Roman"/>
      <w:sz w:val="20"/>
      <w:szCs w:val="20"/>
    </w:rPr>
  </w:style>
  <w:style w:type="paragraph" w:customStyle="1" w:styleId="xl112">
    <w:name w:val="xl112"/>
    <w:basedOn w:val="a"/>
    <w:rsid w:val="00BA6914"/>
    <w:pPr>
      <w:spacing w:before="100" w:beforeAutospacing="1" w:after="100" w:afterAutospacing="1" w:line="240" w:lineRule="auto"/>
      <w:jc w:val="center"/>
    </w:pPr>
    <w:rPr>
      <w:rFonts w:ascii="Times New Roman" w:hAnsi="Times New Roman"/>
      <w:sz w:val="20"/>
      <w:szCs w:val="20"/>
    </w:rPr>
  </w:style>
  <w:style w:type="paragraph" w:customStyle="1" w:styleId="xl113">
    <w:name w:val="xl113"/>
    <w:basedOn w:val="a"/>
    <w:rsid w:val="00BA6914"/>
    <w:pPr>
      <w:spacing w:before="100" w:beforeAutospacing="1" w:after="100" w:afterAutospacing="1" w:line="240" w:lineRule="auto"/>
      <w:jc w:val="center"/>
    </w:pPr>
    <w:rPr>
      <w:rFonts w:ascii="Times New Roman" w:hAnsi="Times New Roman"/>
      <w:sz w:val="20"/>
      <w:szCs w:val="20"/>
    </w:rPr>
  </w:style>
  <w:style w:type="paragraph" w:customStyle="1" w:styleId="xl114">
    <w:name w:val="xl114"/>
    <w:basedOn w:val="a"/>
    <w:rsid w:val="00BA6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5">
    <w:name w:val="xl115"/>
    <w:basedOn w:val="a"/>
    <w:rsid w:val="00BA691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6">
    <w:name w:val="xl116"/>
    <w:basedOn w:val="a"/>
    <w:rsid w:val="00BA6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7">
    <w:name w:val="xl117"/>
    <w:basedOn w:val="a"/>
    <w:rsid w:val="00BA6914"/>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0"/>
      <w:szCs w:val="20"/>
    </w:rPr>
  </w:style>
  <w:style w:type="paragraph" w:customStyle="1" w:styleId="xl118">
    <w:name w:val="xl118"/>
    <w:basedOn w:val="a"/>
    <w:rsid w:val="00BA69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119">
    <w:name w:val="xl119"/>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1">
    <w:name w:val="xl121"/>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2">
    <w:name w:val="xl122"/>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3">
    <w:name w:val="xl123"/>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0"/>
      <w:szCs w:val="20"/>
    </w:rPr>
  </w:style>
  <w:style w:type="paragraph" w:customStyle="1" w:styleId="xl124">
    <w:name w:val="xl124"/>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0"/>
      <w:szCs w:val="20"/>
    </w:rPr>
  </w:style>
  <w:style w:type="paragraph" w:customStyle="1" w:styleId="xl125">
    <w:name w:val="xl125"/>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0"/>
      <w:szCs w:val="20"/>
    </w:rPr>
  </w:style>
  <w:style w:type="paragraph" w:customStyle="1" w:styleId="xl126">
    <w:name w:val="xl126"/>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0"/>
      <w:szCs w:val="20"/>
    </w:rPr>
  </w:style>
  <w:style w:type="paragraph" w:styleId="a5">
    <w:name w:val="List Paragraph"/>
    <w:basedOn w:val="a"/>
    <w:uiPriority w:val="34"/>
    <w:qFormat/>
    <w:rsid w:val="00E0546C"/>
    <w:pPr>
      <w:ind w:left="720"/>
      <w:contextualSpacing/>
    </w:pPr>
  </w:style>
  <w:style w:type="paragraph" w:styleId="a6">
    <w:name w:val="Balloon Text"/>
    <w:basedOn w:val="a"/>
    <w:link w:val="a7"/>
    <w:uiPriority w:val="99"/>
    <w:semiHidden/>
    <w:unhideWhenUsed/>
    <w:rsid w:val="00E3627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3627E"/>
    <w:rPr>
      <w:rFonts w:ascii="Segoe UI" w:eastAsia="Times New Roman" w:hAnsi="Segoe UI" w:cs="Segoe UI"/>
      <w:sz w:val="18"/>
      <w:szCs w:val="18"/>
      <w:lang w:eastAsia="ru-RU"/>
    </w:rPr>
  </w:style>
  <w:style w:type="character" w:styleId="a8">
    <w:name w:val="annotation reference"/>
    <w:basedOn w:val="a0"/>
    <w:uiPriority w:val="99"/>
    <w:semiHidden/>
    <w:unhideWhenUsed/>
    <w:rsid w:val="00897022"/>
    <w:rPr>
      <w:sz w:val="16"/>
      <w:szCs w:val="16"/>
    </w:rPr>
  </w:style>
  <w:style w:type="paragraph" w:styleId="a9">
    <w:name w:val="annotation text"/>
    <w:basedOn w:val="a"/>
    <w:link w:val="aa"/>
    <w:uiPriority w:val="99"/>
    <w:semiHidden/>
    <w:unhideWhenUsed/>
    <w:rsid w:val="00897022"/>
    <w:pPr>
      <w:spacing w:line="240" w:lineRule="auto"/>
    </w:pPr>
    <w:rPr>
      <w:sz w:val="20"/>
      <w:szCs w:val="20"/>
    </w:rPr>
  </w:style>
  <w:style w:type="character" w:customStyle="1" w:styleId="aa">
    <w:name w:val="Текст примечания Знак"/>
    <w:basedOn w:val="a0"/>
    <w:link w:val="a9"/>
    <w:uiPriority w:val="99"/>
    <w:semiHidden/>
    <w:rsid w:val="00897022"/>
    <w:rPr>
      <w:rFonts w:ascii="Calibri" w:eastAsia="Times New Roman" w:hAnsi="Calibri" w:cs="Times New Roman"/>
      <w:sz w:val="20"/>
      <w:szCs w:val="20"/>
      <w:lang w:eastAsia="ru-RU"/>
    </w:rPr>
  </w:style>
  <w:style w:type="paragraph" w:styleId="ab">
    <w:name w:val="annotation subject"/>
    <w:basedOn w:val="a9"/>
    <w:next w:val="a9"/>
    <w:link w:val="ac"/>
    <w:uiPriority w:val="99"/>
    <w:semiHidden/>
    <w:unhideWhenUsed/>
    <w:rsid w:val="00897022"/>
    <w:rPr>
      <w:b/>
      <w:bCs/>
    </w:rPr>
  </w:style>
  <w:style w:type="character" w:customStyle="1" w:styleId="ac">
    <w:name w:val="Тема примечания Знак"/>
    <w:basedOn w:val="aa"/>
    <w:link w:val="ab"/>
    <w:uiPriority w:val="99"/>
    <w:semiHidden/>
    <w:rsid w:val="00897022"/>
    <w:rPr>
      <w:rFonts w:ascii="Calibri" w:eastAsia="Times New Roman" w:hAnsi="Calibri" w:cs="Times New Roman"/>
      <w:b/>
      <w:bCs/>
      <w:sz w:val="20"/>
      <w:szCs w:val="20"/>
      <w:lang w:eastAsia="ru-RU"/>
    </w:rPr>
  </w:style>
  <w:style w:type="paragraph" w:styleId="ad">
    <w:name w:val="Normal (Web)"/>
    <w:basedOn w:val="a"/>
    <w:uiPriority w:val="99"/>
    <w:unhideWhenUsed/>
    <w:rsid w:val="00FB1C69"/>
    <w:pPr>
      <w:spacing w:before="100" w:beforeAutospacing="1" w:after="100" w:afterAutospacing="1" w:line="240" w:lineRule="auto"/>
    </w:pPr>
    <w:rPr>
      <w:rFonts w:ascii="Times New Roman" w:hAnsi="Times New Roman"/>
      <w:sz w:val="24"/>
      <w:szCs w:val="24"/>
    </w:rPr>
  </w:style>
  <w:style w:type="character" w:styleId="ae">
    <w:name w:val="Strong"/>
    <w:basedOn w:val="a0"/>
    <w:qFormat/>
    <w:rsid w:val="001D608F"/>
    <w:rPr>
      <w:b/>
      <w:bCs/>
    </w:rPr>
  </w:style>
  <w:style w:type="paragraph" w:styleId="af">
    <w:name w:val="header"/>
    <w:basedOn w:val="a"/>
    <w:link w:val="af0"/>
    <w:uiPriority w:val="99"/>
    <w:unhideWhenUsed/>
    <w:rsid w:val="00EB133F"/>
    <w:pPr>
      <w:tabs>
        <w:tab w:val="center" w:pos="4844"/>
        <w:tab w:val="right" w:pos="9689"/>
      </w:tabs>
      <w:spacing w:after="0" w:line="240" w:lineRule="auto"/>
    </w:pPr>
  </w:style>
  <w:style w:type="character" w:customStyle="1" w:styleId="af0">
    <w:name w:val="Верхний колонтитул Знак"/>
    <w:basedOn w:val="a0"/>
    <w:link w:val="af"/>
    <w:uiPriority w:val="99"/>
    <w:rsid w:val="00EB133F"/>
    <w:rPr>
      <w:rFonts w:ascii="Calibri" w:eastAsia="Times New Roman" w:hAnsi="Calibri" w:cs="Times New Roman"/>
      <w:lang w:eastAsia="ru-RU"/>
    </w:rPr>
  </w:style>
  <w:style w:type="paragraph" w:styleId="af1">
    <w:name w:val="footer"/>
    <w:basedOn w:val="a"/>
    <w:link w:val="af2"/>
    <w:uiPriority w:val="99"/>
    <w:unhideWhenUsed/>
    <w:rsid w:val="00EB133F"/>
    <w:pPr>
      <w:tabs>
        <w:tab w:val="center" w:pos="4844"/>
        <w:tab w:val="right" w:pos="9689"/>
      </w:tabs>
      <w:spacing w:after="0" w:line="240" w:lineRule="auto"/>
    </w:pPr>
  </w:style>
  <w:style w:type="character" w:customStyle="1" w:styleId="af2">
    <w:name w:val="Нижний колонтитул Знак"/>
    <w:basedOn w:val="a0"/>
    <w:link w:val="af1"/>
    <w:uiPriority w:val="99"/>
    <w:rsid w:val="00EB133F"/>
    <w:rPr>
      <w:rFonts w:ascii="Calibri" w:eastAsia="Times New Roman" w:hAnsi="Calibri" w:cs="Times New Roman"/>
      <w:lang w:eastAsia="ru-RU"/>
    </w:rPr>
  </w:style>
  <w:style w:type="paragraph" w:styleId="HTML">
    <w:name w:val="HTML Preformatted"/>
    <w:basedOn w:val="a"/>
    <w:link w:val="HTML0"/>
    <w:uiPriority w:val="99"/>
    <w:semiHidden/>
    <w:unhideWhenUsed/>
    <w:rsid w:val="00855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855BA5"/>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8F00FA"/>
    <w:rPr>
      <w:rFonts w:ascii="Times New Roman" w:eastAsia="Times New Roman" w:hAnsi="Times New Roman" w:cs="Times New Roman"/>
      <w:b/>
      <w:bCs/>
      <w:sz w:val="36"/>
      <w:szCs w:val="36"/>
      <w:lang w:eastAsia="ru-RU"/>
    </w:rPr>
  </w:style>
  <w:style w:type="character" w:styleId="af3">
    <w:name w:val="Emphasis"/>
    <w:qFormat/>
    <w:rsid w:val="008F00FA"/>
    <w:rPr>
      <w:i/>
      <w:iCs/>
    </w:rPr>
  </w:style>
  <w:style w:type="paragraph" w:styleId="af4">
    <w:name w:val="No Spacing"/>
    <w:link w:val="af5"/>
    <w:uiPriority w:val="1"/>
    <w:qFormat/>
    <w:rsid w:val="00463584"/>
    <w:pPr>
      <w:spacing w:after="0" w:line="240" w:lineRule="auto"/>
    </w:pPr>
    <w:rPr>
      <w:rFonts w:ascii="Calibri" w:eastAsia="Times New Roman" w:hAnsi="Calibri" w:cs="Times New Roman"/>
      <w:lang w:eastAsia="ru-RU"/>
    </w:rPr>
  </w:style>
  <w:style w:type="character" w:customStyle="1" w:styleId="af5">
    <w:name w:val="Без интервала Знак"/>
    <w:link w:val="af4"/>
    <w:uiPriority w:val="1"/>
    <w:rsid w:val="003B6803"/>
    <w:rPr>
      <w:rFonts w:ascii="Calibri" w:eastAsia="Times New Roman" w:hAnsi="Calibri" w:cs="Times New Roman"/>
      <w:lang w:eastAsia="ru-RU"/>
    </w:rPr>
  </w:style>
  <w:style w:type="character" w:customStyle="1" w:styleId="extended-textshort">
    <w:name w:val="extended-text__short"/>
    <w:basedOn w:val="a0"/>
    <w:rsid w:val="00FA3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387">
      <w:bodyDiv w:val="1"/>
      <w:marLeft w:val="0"/>
      <w:marRight w:val="0"/>
      <w:marTop w:val="0"/>
      <w:marBottom w:val="0"/>
      <w:divBdr>
        <w:top w:val="none" w:sz="0" w:space="0" w:color="auto"/>
        <w:left w:val="none" w:sz="0" w:space="0" w:color="auto"/>
        <w:bottom w:val="none" w:sz="0" w:space="0" w:color="auto"/>
        <w:right w:val="none" w:sz="0" w:space="0" w:color="auto"/>
      </w:divBdr>
    </w:div>
    <w:div w:id="48234516">
      <w:bodyDiv w:val="1"/>
      <w:marLeft w:val="0"/>
      <w:marRight w:val="0"/>
      <w:marTop w:val="0"/>
      <w:marBottom w:val="0"/>
      <w:divBdr>
        <w:top w:val="none" w:sz="0" w:space="0" w:color="auto"/>
        <w:left w:val="none" w:sz="0" w:space="0" w:color="auto"/>
        <w:bottom w:val="none" w:sz="0" w:space="0" w:color="auto"/>
        <w:right w:val="none" w:sz="0" w:space="0" w:color="auto"/>
      </w:divBdr>
    </w:div>
    <w:div w:id="131866903">
      <w:bodyDiv w:val="1"/>
      <w:marLeft w:val="0"/>
      <w:marRight w:val="0"/>
      <w:marTop w:val="0"/>
      <w:marBottom w:val="0"/>
      <w:divBdr>
        <w:top w:val="none" w:sz="0" w:space="0" w:color="auto"/>
        <w:left w:val="none" w:sz="0" w:space="0" w:color="auto"/>
        <w:bottom w:val="none" w:sz="0" w:space="0" w:color="auto"/>
        <w:right w:val="none" w:sz="0" w:space="0" w:color="auto"/>
      </w:divBdr>
    </w:div>
    <w:div w:id="134760455">
      <w:bodyDiv w:val="1"/>
      <w:marLeft w:val="0"/>
      <w:marRight w:val="0"/>
      <w:marTop w:val="0"/>
      <w:marBottom w:val="0"/>
      <w:divBdr>
        <w:top w:val="none" w:sz="0" w:space="0" w:color="auto"/>
        <w:left w:val="none" w:sz="0" w:space="0" w:color="auto"/>
        <w:bottom w:val="none" w:sz="0" w:space="0" w:color="auto"/>
        <w:right w:val="none" w:sz="0" w:space="0" w:color="auto"/>
      </w:divBdr>
    </w:div>
    <w:div w:id="144322600">
      <w:bodyDiv w:val="1"/>
      <w:marLeft w:val="0"/>
      <w:marRight w:val="0"/>
      <w:marTop w:val="0"/>
      <w:marBottom w:val="0"/>
      <w:divBdr>
        <w:top w:val="none" w:sz="0" w:space="0" w:color="auto"/>
        <w:left w:val="none" w:sz="0" w:space="0" w:color="auto"/>
        <w:bottom w:val="none" w:sz="0" w:space="0" w:color="auto"/>
        <w:right w:val="none" w:sz="0" w:space="0" w:color="auto"/>
      </w:divBdr>
    </w:div>
    <w:div w:id="154611878">
      <w:bodyDiv w:val="1"/>
      <w:marLeft w:val="0"/>
      <w:marRight w:val="0"/>
      <w:marTop w:val="0"/>
      <w:marBottom w:val="0"/>
      <w:divBdr>
        <w:top w:val="none" w:sz="0" w:space="0" w:color="auto"/>
        <w:left w:val="none" w:sz="0" w:space="0" w:color="auto"/>
        <w:bottom w:val="none" w:sz="0" w:space="0" w:color="auto"/>
        <w:right w:val="none" w:sz="0" w:space="0" w:color="auto"/>
      </w:divBdr>
    </w:div>
    <w:div w:id="174151903">
      <w:bodyDiv w:val="1"/>
      <w:marLeft w:val="0"/>
      <w:marRight w:val="0"/>
      <w:marTop w:val="0"/>
      <w:marBottom w:val="0"/>
      <w:divBdr>
        <w:top w:val="none" w:sz="0" w:space="0" w:color="auto"/>
        <w:left w:val="none" w:sz="0" w:space="0" w:color="auto"/>
        <w:bottom w:val="none" w:sz="0" w:space="0" w:color="auto"/>
        <w:right w:val="none" w:sz="0" w:space="0" w:color="auto"/>
      </w:divBdr>
    </w:div>
    <w:div w:id="185293806">
      <w:bodyDiv w:val="1"/>
      <w:marLeft w:val="0"/>
      <w:marRight w:val="0"/>
      <w:marTop w:val="0"/>
      <w:marBottom w:val="0"/>
      <w:divBdr>
        <w:top w:val="none" w:sz="0" w:space="0" w:color="auto"/>
        <w:left w:val="none" w:sz="0" w:space="0" w:color="auto"/>
        <w:bottom w:val="none" w:sz="0" w:space="0" w:color="auto"/>
        <w:right w:val="none" w:sz="0" w:space="0" w:color="auto"/>
      </w:divBdr>
    </w:div>
    <w:div w:id="222253779">
      <w:bodyDiv w:val="1"/>
      <w:marLeft w:val="0"/>
      <w:marRight w:val="0"/>
      <w:marTop w:val="0"/>
      <w:marBottom w:val="0"/>
      <w:divBdr>
        <w:top w:val="none" w:sz="0" w:space="0" w:color="auto"/>
        <w:left w:val="none" w:sz="0" w:space="0" w:color="auto"/>
        <w:bottom w:val="none" w:sz="0" w:space="0" w:color="auto"/>
        <w:right w:val="none" w:sz="0" w:space="0" w:color="auto"/>
      </w:divBdr>
    </w:div>
    <w:div w:id="278949760">
      <w:bodyDiv w:val="1"/>
      <w:marLeft w:val="0"/>
      <w:marRight w:val="0"/>
      <w:marTop w:val="0"/>
      <w:marBottom w:val="0"/>
      <w:divBdr>
        <w:top w:val="none" w:sz="0" w:space="0" w:color="auto"/>
        <w:left w:val="none" w:sz="0" w:space="0" w:color="auto"/>
        <w:bottom w:val="none" w:sz="0" w:space="0" w:color="auto"/>
        <w:right w:val="none" w:sz="0" w:space="0" w:color="auto"/>
      </w:divBdr>
    </w:div>
    <w:div w:id="289559704">
      <w:bodyDiv w:val="1"/>
      <w:marLeft w:val="0"/>
      <w:marRight w:val="0"/>
      <w:marTop w:val="0"/>
      <w:marBottom w:val="0"/>
      <w:divBdr>
        <w:top w:val="none" w:sz="0" w:space="0" w:color="auto"/>
        <w:left w:val="none" w:sz="0" w:space="0" w:color="auto"/>
        <w:bottom w:val="none" w:sz="0" w:space="0" w:color="auto"/>
        <w:right w:val="none" w:sz="0" w:space="0" w:color="auto"/>
      </w:divBdr>
    </w:div>
    <w:div w:id="294606272">
      <w:bodyDiv w:val="1"/>
      <w:marLeft w:val="0"/>
      <w:marRight w:val="0"/>
      <w:marTop w:val="0"/>
      <w:marBottom w:val="0"/>
      <w:divBdr>
        <w:top w:val="none" w:sz="0" w:space="0" w:color="auto"/>
        <w:left w:val="none" w:sz="0" w:space="0" w:color="auto"/>
        <w:bottom w:val="none" w:sz="0" w:space="0" w:color="auto"/>
        <w:right w:val="none" w:sz="0" w:space="0" w:color="auto"/>
      </w:divBdr>
    </w:div>
    <w:div w:id="299581489">
      <w:bodyDiv w:val="1"/>
      <w:marLeft w:val="0"/>
      <w:marRight w:val="0"/>
      <w:marTop w:val="0"/>
      <w:marBottom w:val="0"/>
      <w:divBdr>
        <w:top w:val="none" w:sz="0" w:space="0" w:color="auto"/>
        <w:left w:val="none" w:sz="0" w:space="0" w:color="auto"/>
        <w:bottom w:val="none" w:sz="0" w:space="0" w:color="auto"/>
        <w:right w:val="none" w:sz="0" w:space="0" w:color="auto"/>
      </w:divBdr>
    </w:div>
    <w:div w:id="306206621">
      <w:bodyDiv w:val="1"/>
      <w:marLeft w:val="0"/>
      <w:marRight w:val="0"/>
      <w:marTop w:val="0"/>
      <w:marBottom w:val="0"/>
      <w:divBdr>
        <w:top w:val="none" w:sz="0" w:space="0" w:color="auto"/>
        <w:left w:val="none" w:sz="0" w:space="0" w:color="auto"/>
        <w:bottom w:val="none" w:sz="0" w:space="0" w:color="auto"/>
        <w:right w:val="none" w:sz="0" w:space="0" w:color="auto"/>
      </w:divBdr>
    </w:div>
    <w:div w:id="349724279">
      <w:bodyDiv w:val="1"/>
      <w:marLeft w:val="0"/>
      <w:marRight w:val="0"/>
      <w:marTop w:val="0"/>
      <w:marBottom w:val="0"/>
      <w:divBdr>
        <w:top w:val="none" w:sz="0" w:space="0" w:color="auto"/>
        <w:left w:val="none" w:sz="0" w:space="0" w:color="auto"/>
        <w:bottom w:val="none" w:sz="0" w:space="0" w:color="auto"/>
        <w:right w:val="none" w:sz="0" w:space="0" w:color="auto"/>
      </w:divBdr>
    </w:div>
    <w:div w:id="365107012">
      <w:bodyDiv w:val="1"/>
      <w:marLeft w:val="0"/>
      <w:marRight w:val="0"/>
      <w:marTop w:val="0"/>
      <w:marBottom w:val="0"/>
      <w:divBdr>
        <w:top w:val="none" w:sz="0" w:space="0" w:color="auto"/>
        <w:left w:val="none" w:sz="0" w:space="0" w:color="auto"/>
        <w:bottom w:val="none" w:sz="0" w:space="0" w:color="auto"/>
        <w:right w:val="none" w:sz="0" w:space="0" w:color="auto"/>
      </w:divBdr>
    </w:div>
    <w:div w:id="369458692">
      <w:bodyDiv w:val="1"/>
      <w:marLeft w:val="0"/>
      <w:marRight w:val="0"/>
      <w:marTop w:val="0"/>
      <w:marBottom w:val="0"/>
      <w:divBdr>
        <w:top w:val="none" w:sz="0" w:space="0" w:color="auto"/>
        <w:left w:val="none" w:sz="0" w:space="0" w:color="auto"/>
        <w:bottom w:val="none" w:sz="0" w:space="0" w:color="auto"/>
        <w:right w:val="none" w:sz="0" w:space="0" w:color="auto"/>
      </w:divBdr>
    </w:div>
    <w:div w:id="436868384">
      <w:bodyDiv w:val="1"/>
      <w:marLeft w:val="0"/>
      <w:marRight w:val="0"/>
      <w:marTop w:val="0"/>
      <w:marBottom w:val="0"/>
      <w:divBdr>
        <w:top w:val="none" w:sz="0" w:space="0" w:color="auto"/>
        <w:left w:val="none" w:sz="0" w:space="0" w:color="auto"/>
        <w:bottom w:val="none" w:sz="0" w:space="0" w:color="auto"/>
        <w:right w:val="none" w:sz="0" w:space="0" w:color="auto"/>
      </w:divBdr>
    </w:div>
    <w:div w:id="442458625">
      <w:bodyDiv w:val="1"/>
      <w:marLeft w:val="0"/>
      <w:marRight w:val="0"/>
      <w:marTop w:val="0"/>
      <w:marBottom w:val="0"/>
      <w:divBdr>
        <w:top w:val="none" w:sz="0" w:space="0" w:color="auto"/>
        <w:left w:val="none" w:sz="0" w:space="0" w:color="auto"/>
        <w:bottom w:val="none" w:sz="0" w:space="0" w:color="auto"/>
        <w:right w:val="none" w:sz="0" w:space="0" w:color="auto"/>
      </w:divBdr>
    </w:div>
    <w:div w:id="460344744">
      <w:bodyDiv w:val="1"/>
      <w:marLeft w:val="0"/>
      <w:marRight w:val="0"/>
      <w:marTop w:val="0"/>
      <w:marBottom w:val="0"/>
      <w:divBdr>
        <w:top w:val="none" w:sz="0" w:space="0" w:color="auto"/>
        <w:left w:val="none" w:sz="0" w:space="0" w:color="auto"/>
        <w:bottom w:val="none" w:sz="0" w:space="0" w:color="auto"/>
        <w:right w:val="none" w:sz="0" w:space="0" w:color="auto"/>
      </w:divBdr>
    </w:div>
    <w:div w:id="469633150">
      <w:bodyDiv w:val="1"/>
      <w:marLeft w:val="0"/>
      <w:marRight w:val="0"/>
      <w:marTop w:val="0"/>
      <w:marBottom w:val="0"/>
      <w:divBdr>
        <w:top w:val="none" w:sz="0" w:space="0" w:color="auto"/>
        <w:left w:val="none" w:sz="0" w:space="0" w:color="auto"/>
        <w:bottom w:val="none" w:sz="0" w:space="0" w:color="auto"/>
        <w:right w:val="none" w:sz="0" w:space="0" w:color="auto"/>
      </w:divBdr>
    </w:div>
    <w:div w:id="489374248">
      <w:bodyDiv w:val="1"/>
      <w:marLeft w:val="0"/>
      <w:marRight w:val="0"/>
      <w:marTop w:val="0"/>
      <w:marBottom w:val="0"/>
      <w:divBdr>
        <w:top w:val="none" w:sz="0" w:space="0" w:color="auto"/>
        <w:left w:val="none" w:sz="0" w:space="0" w:color="auto"/>
        <w:bottom w:val="none" w:sz="0" w:space="0" w:color="auto"/>
        <w:right w:val="none" w:sz="0" w:space="0" w:color="auto"/>
      </w:divBdr>
    </w:div>
    <w:div w:id="508375548">
      <w:bodyDiv w:val="1"/>
      <w:marLeft w:val="0"/>
      <w:marRight w:val="0"/>
      <w:marTop w:val="0"/>
      <w:marBottom w:val="0"/>
      <w:divBdr>
        <w:top w:val="none" w:sz="0" w:space="0" w:color="auto"/>
        <w:left w:val="none" w:sz="0" w:space="0" w:color="auto"/>
        <w:bottom w:val="none" w:sz="0" w:space="0" w:color="auto"/>
        <w:right w:val="none" w:sz="0" w:space="0" w:color="auto"/>
      </w:divBdr>
    </w:div>
    <w:div w:id="514271745">
      <w:bodyDiv w:val="1"/>
      <w:marLeft w:val="0"/>
      <w:marRight w:val="0"/>
      <w:marTop w:val="0"/>
      <w:marBottom w:val="0"/>
      <w:divBdr>
        <w:top w:val="none" w:sz="0" w:space="0" w:color="auto"/>
        <w:left w:val="none" w:sz="0" w:space="0" w:color="auto"/>
        <w:bottom w:val="none" w:sz="0" w:space="0" w:color="auto"/>
        <w:right w:val="none" w:sz="0" w:space="0" w:color="auto"/>
      </w:divBdr>
    </w:div>
    <w:div w:id="535167622">
      <w:bodyDiv w:val="1"/>
      <w:marLeft w:val="0"/>
      <w:marRight w:val="0"/>
      <w:marTop w:val="0"/>
      <w:marBottom w:val="0"/>
      <w:divBdr>
        <w:top w:val="none" w:sz="0" w:space="0" w:color="auto"/>
        <w:left w:val="none" w:sz="0" w:space="0" w:color="auto"/>
        <w:bottom w:val="none" w:sz="0" w:space="0" w:color="auto"/>
        <w:right w:val="none" w:sz="0" w:space="0" w:color="auto"/>
      </w:divBdr>
    </w:div>
    <w:div w:id="536166505">
      <w:bodyDiv w:val="1"/>
      <w:marLeft w:val="0"/>
      <w:marRight w:val="0"/>
      <w:marTop w:val="0"/>
      <w:marBottom w:val="0"/>
      <w:divBdr>
        <w:top w:val="none" w:sz="0" w:space="0" w:color="auto"/>
        <w:left w:val="none" w:sz="0" w:space="0" w:color="auto"/>
        <w:bottom w:val="none" w:sz="0" w:space="0" w:color="auto"/>
        <w:right w:val="none" w:sz="0" w:space="0" w:color="auto"/>
      </w:divBdr>
    </w:div>
    <w:div w:id="549608629">
      <w:bodyDiv w:val="1"/>
      <w:marLeft w:val="0"/>
      <w:marRight w:val="0"/>
      <w:marTop w:val="0"/>
      <w:marBottom w:val="0"/>
      <w:divBdr>
        <w:top w:val="none" w:sz="0" w:space="0" w:color="auto"/>
        <w:left w:val="none" w:sz="0" w:space="0" w:color="auto"/>
        <w:bottom w:val="none" w:sz="0" w:space="0" w:color="auto"/>
        <w:right w:val="none" w:sz="0" w:space="0" w:color="auto"/>
      </w:divBdr>
    </w:div>
    <w:div w:id="592862381">
      <w:bodyDiv w:val="1"/>
      <w:marLeft w:val="0"/>
      <w:marRight w:val="0"/>
      <w:marTop w:val="0"/>
      <w:marBottom w:val="0"/>
      <w:divBdr>
        <w:top w:val="none" w:sz="0" w:space="0" w:color="auto"/>
        <w:left w:val="none" w:sz="0" w:space="0" w:color="auto"/>
        <w:bottom w:val="none" w:sz="0" w:space="0" w:color="auto"/>
        <w:right w:val="none" w:sz="0" w:space="0" w:color="auto"/>
      </w:divBdr>
    </w:div>
    <w:div w:id="618995855">
      <w:bodyDiv w:val="1"/>
      <w:marLeft w:val="0"/>
      <w:marRight w:val="0"/>
      <w:marTop w:val="0"/>
      <w:marBottom w:val="0"/>
      <w:divBdr>
        <w:top w:val="none" w:sz="0" w:space="0" w:color="auto"/>
        <w:left w:val="none" w:sz="0" w:space="0" w:color="auto"/>
        <w:bottom w:val="none" w:sz="0" w:space="0" w:color="auto"/>
        <w:right w:val="none" w:sz="0" w:space="0" w:color="auto"/>
      </w:divBdr>
    </w:div>
    <w:div w:id="619264574">
      <w:bodyDiv w:val="1"/>
      <w:marLeft w:val="0"/>
      <w:marRight w:val="0"/>
      <w:marTop w:val="0"/>
      <w:marBottom w:val="0"/>
      <w:divBdr>
        <w:top w:val="none" w:sz="0" w:space="0" w:color="auto"/>
        <w:left w:val="none" w:sz="0" w:space="0" w:color="auto"/>
        <w:bottom w:val="none" w:sz="0" w:space="0" w:color="auto"/>
        <w:right w:val="none" w:sz="0" w:space="0" w:color="auto"/>
      </w:divBdr>
    </w:div>
    <w:div w:id="621617213">
      <w:bodyDiv w:val="1"/>
      <w:marLeft w:val="0"/>
      <w:marRight w:val="0"/>
      <w:marTop w:val="0"/>
      <w:marBottom w:val="0"/>
      <w:divBdr>
        <w:top w:val="none" w:sz="0" w:space="0" w:color="auto"/>
        <w:left w:val="none" w:sz="0" w:space="0" w:color="auto"/>
        <w:bottom w:val="none" w:sz="0" w:space="0" w:color="auto"/>
        <w:right w:val="none" w:sz="0" w:space="0" w:color="auto"/>
      </w:divBdr>
    </w:div>
    <w:div w:id="636300745">
      <w:bodyDiv w:val="1"/>
      <w:marLeft w:val="0"/>
      <w:marRight w:val="0"/>
      <w:marTop w:val="0"/>
      <w:marBottom w:val="0"/>
      <w:divBdr>
        <w:top w:val="none" w:sz="0" w:space="0" w:color="auto"/>
        <w:left w:val="none" w:sz="0" w:space="0" w:color="auto"/>
        <w:bottom w:val="none" w:sz="0" w:space="0" w:color="auto"/>
        <w:right w:val="none" w:sz="0" w:space="0" w:color="auto"/>
      </w:divBdr>
    </w:div>
    <w:div w:id="637343891">
      <w:bodyDiv w:val="1"/>
      <w:marLeft w:val="0"/>
      <w:marRight w:val="0"/>
      <w:marTop w:val="0"/>
      <w:marBottom w:val="0"/>
      <w:divBdr>
        <w:top w:val="none" w:sz="0" w:space="0" w:color="auto"/>
        <w:left w:val="none" w:sz="0" w:space="0" w:color="auto"/>
        <w:bottom w:val="none" w:sz="0" w:space="0" w:color="auto"/>
        <w:right w:val="none" w:sz="0" w:space="0" w:color="auto"/>
      </w:divBdr>
    </w:div>
    <w:div w:id="654529475">
      <w:bodyDiv w:val="1"/>
      <w:marLeft w:val="0"/>
      <w:marRight w:val="0"/>
      <w:marTop w:val="0"/>
      <w:marBottom w:val="0"/>
      <w:divBdr>
        <w:top w:val="none" w:sz="0" w:space="0" w:color="auto"/>
        <w:left w:val="none" w:sz="0" w:space="0" w:color="auto"/>
        <w:bottom w:val="none" w:sz="0" w:space="0" w:color="auto"/>
        <w:right w:val="none" w:sz="0" w:space="0" w:color="auto"/>
      </w:divBdr>
    </w:div>
    <w:div w:id="658730667">
      <w:bodyDiv w:val="1"/>
      <w:marLeft w:val="0"/>
      <w:marRight w:val="0"/>
      <w:marTop w:val="0"/>
      <w:marBottom w:val="0"/>
      <w:divBdr>
        <w:top w:val="none" w:sz="0" w:space="0" w:color="auto"/>
        <w:left w:val="none" w:sz="0" w:space="0" w:color="auto"/>
        <w:bottom w:val="none" w:sz="0" w:space="0" w:color="auto"/>
        <w:right w:val="none" w:sz="0" w:space="0" w:color="auto"/>
      </w:divBdr>
    </w:div>
    <w:div w:id="667514880">
      <w:bodyDiv w:val="1"/>
      <w:marLeft w:val="0"/>
      <w:marRight w:val="0"/>
      <w:marTop w:val="0"/>
      <w:marBottom w:val="0"/>
      <w:divBdr>
        <w:top w:val="none" w:sz="0" w:space="0" w:color="auto"/>
        <w:left w:val="none" w:sz="0" w:space="0" w:color="auto"/>
        <w:bottom w:val="none" w:sz="0" w:space="0" w:color="auto"/>
        <w:right w:val="none" w:sz="0" w:space="0" w:color="auto"/>
      </w:divBdr>
    </w:div>
    <w:div w:id="693648775">
      <w:bodyDiv w:val="1"/>
      <w:marLeft w:val="0"/>
      <w:marRight w:val="0"/>
      <w:marTop w:val="0"/>
      <w:marBottom w:val="0"/>
      <w:divBdr>
        <w:top w:val="none" w:sz="0" w:space="0" w:color="auto"/>
        <w:left w:val="none" w:sz="0" w:space="0" w:color="auto"/>
        <w:bottom w:val="none" w:sz="0" w:space="0" w:color="auto"/>
        <w:right w:val="none" w:sz="0" w:space="0" w:color="auto"/>
      </w:divBdr>
    </w:div>
    <w:div w:id="734398616">
      <w:bodyDiv w:val="1"/>
      <w:marLeft w:val="0"/>
      <w:marRight w:val="0"/>
      <w:marTop w:val="0"/>
      <w:marBottom w:val="0"/>
      <w:divBdr>
        <w:top w:val="none" w:sz="0" w:space="0" w:color="auto"/>
        <w:left w:val="none" w:sz="0" w:space="0" w:color="auto"/>
        <w:bottom w:val="none" w:sz="0" w:space="0" w:color="auto"/>
        <w:right w:val="none" w:sz="0" w:space="0" w:color="auto"/>
      </w:divBdr>
    </w:div>
    <w:div w:id="754008860">
      <w:bodyDiv w:val="1"/>
      <w:marLeft w:val="0"/>
      <w:marRight w:val="0"/>
      <w:marTop w:val="0"/>
      <w:marBottom w:val="0"/>
      <w:divBdr>
        <w:top w:val="none" w:sz="0" w:space="0" w:color="auto"/>
        <w:left w:val="none" w:sz="0" w:space="0" w:color="auto"/>
        <w:bottom w:val="none" w:sz="0" w:space="0" w:color="auto"/>
        <w:right w:val="none" w:sz="0" w:space="0" w:color="auto"/>
      </w:divBdr>
    </w:div>
    <w:div w:id="781460433">
      <w:bodyDiv w:val="1"/>
      <w:marLeft w:val="0"/>
      <w:marRight w:val="0"/>
      <w:marTop w:val="0"/>
      <w:marBottom w:val="0"/>
      <w:divBdr>
        <w:top w:val="none" w:sz="0" w:space="0" w:color="auto"/>
        <w:left w:val="none" w:sz="0" w:space="0" w:color="auto"/>
        <w:bottom w:val="none" w:sz="0" w:space="0" w:color="auto"/>
        <w:right w:val="none" w:sz="0" w:space="0" w:color="auto"/>
      </w:divBdr>
    </w:div>
    <w:div w:id="785462949">
      <w:bodyDiv w:val="1"/>
      <w:marLeft w:val="0"/>
      <w:marRight w:val="0"/>
      <w:marTop w:val="0"/>
      <w:marBottom w:val="0"/>
      <w:divBdr>
        <w:top w:val="none" w:sz="0" w:space="0" w:color="auto"/>
        <w:left w:val="none" w:sz="0" w:space="0" w:color="auto"/>
        <w:bottom w:val="none" w:sz="0" w:space="0" w:color="auto"/>
        <w:right w:val="none" w:sz="0" w:space="0" w:color="auto"/>
      </w:divBdr>
    </w:div>
    <w:div w:id="827788335">
      <w:bodyDiv w:val="1"/>
      <w:marLeft w:val="0"/>
      <w:marRight w:val="0"/>
      <w:marTop w:val="0"/>
      <w:marBottom w:val="0"/>
      <w:divBdr>
        <w:top w:val="none" w:sz="0" w:space="0" w:color="auto"/>
        <w:left w:val="none" w:sz="0" w:space="0" w:color="auto"/>
        <w:bottom w:val="none" w:sz="0" w:space="0" w:color="auto"/>
        <w:right w:val="none" w:sz="0" w:space="0" w:color="auto"/>
      </w:divBdr>
    </w:div>
    <w:div w:id="833255822">
      <w:bodyDiv w:val="1"/>
      <w:marLeft w:val="0"/>
      <w:marRight w:val="0"/>
      <w:marTop w:val="0"/>
      <w:marBottom w:val="0"/>
      <w:divBdr>
        <w:top w:val="none" w:sz="0" w:space="0" w:color="auto"/>
        <w:left w:val="none" w:sz="0" w:space="0" w:color="auto"/>
        <w:bottom w:val="none" w:sz="0" w:space="0" w:color="auto"/>
        <w:right w:val="none" w:sz="0" w:space="0" w:color="auto"/>
      </w:divBdr>
    </w:div>
    <w:div w:id="838272143">
      <w:bodyDiv w:val="1"/>
      <w:marLeft w:val="0"/>
      <w:marRight w:val="0"/>
      <w:marTop w:val="0"/>
      <w:marBottom w:val="0"/>
      <w:divBdr>
        <w:top w:val="none" w:sz="0" w:space="0" w:color="auto"/>
        <w:left w:val="none" w:sz="0" w:space="0" w:color="auto"/>
        <w:bottom w:val="none" w:sz="0" w:space="0" w:color="auto"/>
        <w:right w:val="none" w:sz="0" w:space="0" w:color="auto"/>
      </w:divBdr>
    </w:div>
    <w:div w:id="858392788">
      <w:bodyDiv w:val="1"/>
      <w:marLeft w:val="0"/>
      <w:marRight w:val="0"/>
      <w:marTop w:val="0"/>
      <w:marBottom w:val="0"/>
      <w:divBdr>
        <w:top w:val="none" w:sz="0" w:space="0" w:color="auto"/>
        <w:left w:val="none" w:sz="0" w:space="0" w:color="auto"/>
        <w:bottom w:val="none" w:sz="0" w:space="0" w:color="auto"/>
        <w:right w:val="none" w:sz="0" w:space="0" w:color="auto"/>
      </w:divBdr>
      <w:divsChild>
        <w:div w:id="30037669">
          <w:marLeft w:val="0"/>
          <w:marRight w:val="0"/>
          <w:marTop w:val="0"/>
          <w:marBottom w:val="0"/>
          <w:divBdr>
            <w:top w:val="none" w:sz="0" w:space="0" w:color="auto"/>
            <w:left w:val="none" w:sz="0" w:space="0" w:color="auto"/>
            <w:bottom w:val="none" w:sz="0" w:space="0" w:color="auto"/>
            <w:right w:val="none" w:sz="0" w:space="0" w:color="auto"/>
          </w:divBdr>
        </w:div>
        <w:div w:id="415056807">
          <w:marLeft w:val="0"/>
          <w:marRight w:val="0"/>
          <w:marTop w:val="0"/>
          <w:marBottom w:val="0"/>
          <w:divBdr>
            <w:top w:val="none" w:sz="0" w:space="0" w:color="auto"/>
            <w:left w:val="none" w:sz="0" w:space="0" w:color="auto"/>
            <w:bottom w:val="none" w:sz="0" w:space="0" w:color="auto"/>
            <w:right w:val="none" w:sz="0" w:space="0" w:color="auto"/>
          </w:divBdr>
        </w:div>
        <w:div w:id="2052026452">
          <w:marLeft w:val="0"/>
          <w:marRight w:val="0"/>
          <w:marTop w:val="0"/>
          <w:marBottom w:val="0"/>
          <w:divBdr>
            <w:top w:val="none" w:sz="0" w:space="0" w:color="auto"/>
            <w:left w:val="none" w:sz="0" w:space="0" w:color="auto"/>
            <w:bottom w:val="none" w:sz="0" w:space="0" w:color="auto"/>
            <w:right w:val="none" w:sz="0" w:space="0" w:color="auto"/>
          </w:divBdr>
        </w:div>
        <w:div w:id="2040429244">
          <w:marLeft w:val="0"/>
          <w:marRight w:val="0"/>
          <w:marTop w:val="0"/>
          <w:marBottom w:val="0"/>
          <w:divBdr>
            <w:top w:val="none" w:sz="0" w:space="0" w:color="auto"/>
            <w:left w:val="none" w:sz="0" w:space="0" w:color="auto"/>
            <w:bottom w:val="none" w:sz="0" w:space="0" w:color="auto"/>
            <w:right w:val="none" w:sz="0" w:space="0" w:color="auto"/>
          </w:divBdr>
        </w:div>
        <w:div w:id="1006135915">
          <w:marLeft w:val="0"/>
          <w:marRight w:val="0"/>
          <w:marTop w:val="0"/>
          <w:marBottom w:val="0"/>
          <w:divBdr>
            <w:top w:val="none" w:sz="0" w:space="0" w:color="auto"/>
            <w:left w:val="none" w:sz="0" w:space="0" w:color="auto"/>
            <w:bottom w:val="none" w:sz="0" w:space="0" w:color="auto"/>
            <w:right w:val="none" w:sz="0" w:space="0" w:color="auto"/>
          </w:divBdr>
        </w:div>
        <w:div w:id="1070465555">
          <w:marLeft w:val="0"/>
          <w:marRight w:val="0"/>
          <w:marTop w:val="0"/>
          <w:marBottom w:val="0"/>
          <w:divBdr>
            <w:top w:val="none" w:sz="0" w:space="0" w:color="auto"/>
            <w:left w:val="none" w:sz="0" w:space="0" w:color="auto"/>
            <w:bottom w:val="none" w:sz="0" w:space="0" w:color="auto"/>
            <w:right w:val="none" w:sz="0" w:space="0" w:color="auto"/>
          </w:divBdr>
        </w:div>
        <w:div w:id="526261308">
          <w:marLeft w:val="0"/>
          <w:marRight w:val="0"/>
          <w:marTop w:val="0"/>
          <w:marBottom w:val="0"/>
          <w:divBdr>
            <w:top w:val="none" w:sz="0" w:space="0" w:color="auto"/>
            <w:left w:val="none" w:sz="0" w:space="0" w:color="auto"/>
            <w:bottom w:val="none" w:sz="0" w:space="0" w:color="auto"/>
            <w:right w:val="none" w:sz="0" w:space="0" w:color="auto"/>
          </w:divBdr>
        </w:div>
        <w:div w:id="867524222">
          <w:marLeft w:val="0"/>
          <w:marRight w:val="0"/>
          <w:marTop w:val="0"/>
          <w:marBottom w:val="0"/>
          <w:divBdr>
            <w:top w:val="none" w:sz="0" w:space="0" w:color="auto"/>
            <w:left w:val="none" w:sz="0" w:space="0" w:color="auto"/>
            <w:bottom w:val="none" w:sz="0" w:space="0" w:color="auto"/>
            <w:right w:val="none" w:sz="0" w:space="0" w:color="auto"/>
          </w:divBdr>
        </w:div>
        <w:div w:id="738475647">
          <w:marLeft w:val="0"/>
          <w:marRight w:val="0"/>
          <w:marTop w:val="0"/>
          <w:marBottom w:val="0"/>
          <w:divBdr>
            <w:top w:val="none" w:sz="0" w:space="0" w:color="auto"/>
            <w:left w:val="none" w:sz="0" w:space="0" w:color="auto"/>
            <w:bottom w:val="none" w:sz="0" w:space="0" w:color="auto"/>
            <w:right w:val="none" w:sz="0" w:space="0" w:color="auto"/>
          </w:divBdr>
        </w:div>
        <w:div w:id="508452835">
          <w:marLeft w:val="0"/>
          <w:marRight w:val="0"/>
          <w:marTop w:val="0"/>
          <w:marBottom w:val="0"/>
          <w:divBdr>
            <w:top w:val="none" w:sz="0" w:space="0" w:color="auto"/>
            <w:left w:val="none" w:sz="0" w:space="0" w:color="auto"/>
            <w:bottom w:val="none" w:sz="0" w:space="0" w:color="auto"/>
            <w:right w:val="none" w:sz="0" w:space="0" w:color="auto"/>
          </w:divBdr>
        </w:div>
        <w:div w:id="510684453">
          <w:marLeft w:val="0"/>
          <w:marRight w:val="0"/>
          <w:marTop w:val="0"/>
          <w:marBottom w:val="0"/>
          <w:divBdr>
            <w:top w:val="none" w:sz="0" w:space="0" w:color="auto"/>
            <w:left w:val="none" w:sz="0" w:space="0" w:color="auto"/>
            <w:bottom w:val="none" w:sz="0" w:space="0" w:color="auto"/>
            <w:right w:val="none" w:sz="0" w:space="0" w:color="auto"/>
          </w:divBdr>
        </w:div>
        <w:div w:id="1360550718">
          <w:marLeft w:val="0"/>
          <w:marRight w:val="0"/>
          <w:marTop w:val="0"/>
          <w:marBottom w:val="0"/>
          <w:divBdr>
            <w:top w:val="none" w:sz="0" w:space="0" w:color="auto"/>
            <w:left w:val="none" w:sz="0" w:space="0" w:color="auto"/>
            <w:bottom w:val="none" w:sz="0" w:space="0" w:color="auto"/>
            <w:right w:val="none" w:sz="0" w:space="0" w:color="auto"/>
          </w:divBdr>
        </w:div>
        <w:div w:id="1889798512">
          <w:marLeft w:val="0"/>
          <w:marRight w:val="0"/>
          <w:marTop w:val="0"/>
          <w:marBottom w:val="0"/>
          <w:divBdr>
            <w:top w:val="none" w:sz="0" w:space="0" w:color="auto"/>
            <w:left w:val="none" w:sz="0" w:space="0" w:color="auto"/>
            <w:bottom w:val="none" w:sz="0" w:space="0" w:color="auto"/>
            <w:right w:val="none" w:sz="0" w:space="0" w:color="auto"/>
          </w:divBdr>
        </w:div>
        <w:div w:id="129517787">
          <w:marLeft w:val="0"/>
          <w:marRight w:val="0"/>
          <w:marTop w:val="0"/>
          <w:marBottom w:val="0"/>
          <w:divBdr>
            <w:top w:val="none" w:sz="0" w:space="0" w:color="auto"/>
            <w:left w:val="none" w:sz="0" w:space="0" w:color="auto"/>
            <w:bottom w:val="none" w:sz="0" w:space="0" w:color="auto"/>
            <w:right w:val="none" w:sz="0" w:space="0" w:color="auto"/>
          </w:divBdr>
        </w:div>
        <w:div w:id="174074553">
          <w:marLeft w:val="0"/>
          <w:marRight w:val="0"/>
          <w:marTop w:val="0"/>
          <w:marBottom w:val="0"/>
          <w:divBdr>
            <w:top w:val="none" w:sz="0" w:space="0" w:color="auto"/>
            <w:left w:val="none" w:sz="0" w:space="0" w:color="auto"/>
            <w:bottom w:val="none" w:sz="0" w:space="0" w:color="auto"/>
            <w:right w:val="none" w:sz="0" w:space="0" w:color="auto"/>
          </w:divBdr>
        </w:div>
        <w:div w:id="363673299">
          <w:marLeft w:val="0"/>
          <w:marRight w:val="0"/>
          <w:marTop w:val="0"/>
          <w:marBottom w:val="0"/>
          <w:divBdr>
            <w:top w:val="none" w:sz="0" w:space="0" w:color="auto"/>
            <w:left w:val="none" w:sz="0" w:space="0" w:color="auto"/>
            <w:bottom w:val="none" w:sz="0" w:space="0" w:color="auto"/>
            <w:right w:val="none" w:sz="0" w:space="0" w:color="auto"/>
          </w:divBdr>
        </w:div>
        <w:div w:id="1252352815">
          <w:marLeft w:val="0"/>
          <w:marRight w:val="0"/>
          <w:marTop w:val="0"/>
          <w:marBottom w:val="0"/>
          <w:divBdr>
            <w:top w:val="none" w:sz="0" w:space="0" w:color="auto"/>
            <w:left w:val="none" w:sz="0" w:space="0" w:color="auto"/>
            <w:bottom w:val="none" w:sz="0" w:space="0" w:color="auto"/>
            <w:right w:val="none" w:sz="0" w:space="0" w:color="auto"/>
          </w:divBdr>
        </w:div>
        <w:div w:id="409500823">
          <w:marLeft w:val="0"/>
          <w:marRight w:val="0"/>
          <w:marTop w:val="0"/>
          <w:marBottom w:val="0"/>
          <w:divBdr>
            <w:top w:val="none" w:sz="0" w:space="0" w:color="auto"/>
            <w:left w:val="none" w:sz="0" w:space="0" w:color="auto"/>
            <w:bottom w:val="none" w:sz="0" w:space="0" w:color="auto"/>
            <w:right w:val="none" w:sz="0" w:space="0" w:color="auto"/>
          </w:divBdr>
        </w:div>
        <w:div w:id="1673751916">
          <w:marLeft w:val="0"/>
          <w:marRight w:val="0"/>
          <w:marTop w:val="0"/>
          <w:marBottom w:val="0"/>
          <w:divBdr>
            <w:top w:val="none" w:sz="0" w:space="0" w:color="auto"/>
            <w:left w:val="none" w:sz="0" w:space="0" w:color="auto"/>
            <w:bottom w:val="none" w:sz="0" w:space="0" w:color="auto"/>
            <w:right w:val="none" w:sz="0" w:space="0" w:color="auto"/>
          </w:divBdr>
        </w:div>
        <w:div w:id="2139913644">
          <w:marLeft w:val="0"/>
          <w:marRight w:val="0"/>
          <w:marTop w:val="0"/>
          <w:marBottom w:val="0"/>
          <w:divBdr>
            <w:top w:val="none" w:sz="0" w:space="0" w:color="auto"/>
            <w:left w:val="none" w:sz="0" w:space="0" w:color="auto"/>
            <w:bottom w:val="none" w:sz="0" w:space="0" w:color="auto"/>
            <w:right w:val="none" w:sz="0" w:space="0" w:color="auto"/>
          </w:divBdr>
        </w:div>
        <w:div w:id="1776903286">
          <w:marLeft w:val="0"/>
          <w:marRight w:val="0"/>
          <w:marTop w:val="0"/>
          <w:marBottom w:val="0"/>
          <w:divBdr>
            <w:top w:val="none" w:sz="0" w:space="0" w:color="auto"/>
            <w:left w:val="none" w:sz="0" w:space="0" w:color="auto"/>
            <w:bottom w:val="none" w:sz="0" w:space="0" w:color="auto"/>
            <w:right w:val="none" w:sz="0" w:space="0" w:color="auto"/>
          </w:divBdr>
        </w:div>
        <w:div w:id="707727387">
          <w:marLeft w:val="0"/>
          <w:marRight w:val="0"/>
          <w:marTop w:val="0"/>
          <w:marBottom w:val="0"/>
          <w:divBdr>
            <w:top w:val="none" w:sz="0" w:space="0" w:color="auto"/>
            <w:left w:val="none" w:sz="0" w:space="0" w:color="auto"/>
            <w:bottom w:val="none" w:sz="0" w:space="0" w:color="auto"/>
            <w:right w:val="none" w:sz="0" w:space="0" w:color="auto"/>
          </w:divBdr>
        </w:div>
        <w:div w:id="1874265492">
          <w:marLeft w:val="0"/>
          <w:marRight w:val="0"/>
          <w:marTop w:val="0"/>
          <w:marBottom w:val="0"/>
          <w:divBdr>
            <w:top w:val="none" w:sz="0" w:space="0" w:color="auto"/>
            <w:left w:val="none" w:sz="0" w:space="0" w:color="auto"/>
            <w:bottom w:val="none" w:sz="0" w:space="0" w:color="auto"/>
            <w:right w:val="none" w:sz="0" w:space="0" w:color="auto"/>
          </w:divBdr>
        </w:div>
        <w:div w:id="366567543">
          <w:marLeft w:val="0"/>
          <w:marRight w:val="0"/>
          <w:marTop w:val="0"/>
          <w:marBottom w:val="0"/>
          <w:divBdr>
            <w:top w:val="none" w:sz="0" w:space="0" w:color="auto"/>
            <w:left w:val="none" w:sz="0" w:space="0" w:color="auto"/>
            <w:bottom w:val="none" w:sz="0" w:space="0" w:color="auto"/>
            <w:right w:val="none" w:sz="0" w:space="0" w:color="auto"/>
          </w:divBdr>
        </w:div>
        <w:div w:id="1220242359">
          <w:marLeft w:val="0"/>
          <w:marRight w:val="0"/>
          <w:marTop w:val="0"/>
          <w:marBottom w:val="0"/>
          <w:divBdr>
            <w:top w:val="none" w:sz="0" w:space="0" w:color="auto"/>
            <w:left w:val="none" w:sz="0" w:space="0" w:color="auto"/>
            <w:bottom w:val="none" w:sz="0" w:space="0" w:color="auto"/>
            <w:right w:val="none" w:sz="0" w:space="0" w:color="auto"/>
          </w:divBdr>
        </w:div>
        <w:div w:id="1816213355">
          <w:marLeft w:val="0"/>
          <w:marRight w:val="0"/>
          <w:marTop w:val="0"/>
          <w:marBottom w:val="0"/>
          <w:divBdr>
            <w:top w:val="none" w:sz="0" w:space="0" w:color="auto"/>
            <w:left w:val="none" w:sz="0" w:space="0" w:color="auto"/>
            <w:bottom w:val="none" w:sz="0" w:space="0" w:color="auto"/>
            <w:right w:val="none" w:sz="0" w:space="0" w:color="auto"/>
          </w:divBdr>
        </w:div>
        <w:div w:id="497188282">
          <w:marLeft w:val="0"/>
          <w:marRight w:val="0"/>
          <w:marTop w:val="0"/>
          <w:marBottom w:val="0"/>
          <w:divBdr>
            <w:top w:val="none" w:sz="0" w:space="0" w:color="auto"/>
            <w:left w:val="none" w:sz="0" w:space="0" w:color="auto"/>
            <w:bottom w:val="none" w:sz="0" w:space="0" w:color="auto"/>
            <w:right w:val="none" w:sz="0" w:space="0" w:color="auto"/>
          </w:divBdr>
        </w:div>
        <w:div w:id="67270396">
          <w:marLeft w:val="0"/>
          <w:marRight w:val="0"/>
          <w:marTop w:val="0"/>
          <w:marBottom w:val="0"/>
          <w:divBdr>
            <w:top w:val="none" w:sz="0" w:space="0" w:color="auto"/>
            <w:left w:val="none" w:sz="0" w:space="0" w:color="auto"/>
            <w:bottom w:val="none" w:sz="0" w:space="0" w:color="auto"/>
            <w:right w:val="none" w:sz="0" w:space="0" w:color="auto"/>
          </w:divBdr>
        </w:div>
        <w:div w:id="1281688509">
          <w:marLeft w:val="0"/>
          <w:marRight w:val="0"/>
          <w:marTop w:val="0"/>
          <w:marBottom w:val="0"/>
          <w:divBdr>
            <w:top w:val="none" w:sz="0" w:space="0" w:color="auto"/>
            <w:left w:val="none" w:sz="0" w:space="0" w:color="auto"/>
            <w:bottom w:val="none" w:sz="0" w:space="0" w:color="auto"/>
            <w:right w:val="none" w:sz="0" w:space="0" w:color="auto"/>
          </w:divBdr>
        </w:div>
        <w:div w:id="1694498911">
          <w:marLeft w:val="0"/>
          <w:marRight w:val="0"/>
          <w:marTop w:val="0"/>
          <w:marBottom w:val="0"/>
          <w:divBdr>
            <w:top w:val="none" w:sz="0" w:space="0" w:color="auto"/>
            <w:left w:val="none" w:sz="0" w:space="0" w:color="auto"/>
            <w:bottom w:val="none" w:sz="0" w:space="0" w:color="auto"/>
            <w:right w:val="none" w:sz="0" w:space="0" w:color="auto"/>
          </w:divBdr>
        </w:div>
        <w:div w:id="834490646">
          <w:marLeft w:val="0"/>
          <w:marRight w:val="0"/>
          <w:marTop w:val="0"/>
          <w:marBottom w:val="0"/>
          <w:divBdr>
            <w:top w:val="none" w:sz="0" w:space="0" w:color="auto"/>
            <w:left w:val="none" w:sz="0" w:space="0" w:color="auto"/>
            <w:bottom w:val="none" w:sz="0" w:space="0" w:color="auto"/>
            <w:right w:val="none" w:sz="0" w:space="0" w:color="auto"/>
          </w:divBdr>
        </w:div>
        <w:div w:id="1599026295">
          <w:marLeft w:val="0"/>
          <w:marRight w:val="0"/>
          <w:marTop w:val="0"/>
          <w:marBottom w:val="0"/>
          <w:divBdr>
            <w:top w:val="none" w:sz="0" w:space="0" w:color="auto"/>
            <w:left w:val="none" w:sz="0" w:space="0" w:color="auto"/>
            <w:bottom w:val="none" w:sz="0" w:space="0" w:color="auto"/>
            <w:right w:val="none" w:sz="0" w:space="0" w:color="auto"/>
          </w:divBdr>
        </w:div>
        <w:div w:id="1157039686">
          <w:marLeft w:val="0"/>
          <w:marRight w:val="0"/>
          <w:marTop w:val="0"/>
          <w:marBottom w:val="0"/>
          <w:divBdr>
            <w:top w:val="none" w:sz="0" w:space="0" w:color="auto"/>
            <w:left w:val="none" w:sz="0" w:space="0" w:color="auto"/>
            <w:bottom w:val="none" w:sz="0" w:space="0" w:color="auto"/>
            <w:right w:val="none" w:sz="0" w:space="0" w:color="auto"/>
          </w:divBdr>
        </w:div>
        <w:div w:id="731201084">
          <w:marLeft w:val="0"/>
          <w:marRight w:val="0"/>
          <w:marTop w:val="0"/>
          <w:marBottom w:val="0"/>
          <w:divBdr>
            <w:top w:val="none" w:sz="0" w:space="0" w:color="auto"/>
            <w:left w:val="none" w:sz="0" w:space="0" w:color="auto"/>
            <w:bottom w:val="none" w:sz="0" w:space="0" w:color="auto"/>
            <w:right w:val="none" w:sz="0" w:space="0" w:color="auto"/>
          </w:divBdr>
        </w:div>
        <w:div w:id="375668125">
          <w:marLeft w:val="0"/>
          <w:marRight w:val="0"/>
          <w:marTop w:val="0"/>
          <w:marBottom w:val="0"/>
          <w:divBdr>
            <w:top w:val="none" w:sz="0" w:space="0" w:color="auto"/>
            <w:left w:val="none" w:sz="0" w:space="0" w:color="auto"/>
            <w:bottom w:val="none" w:sz="0" w:space="0" w:color="auto"/>
            <w:right w:val="none" w:sz="0" w:space="0" w:color="auto"/>
          </w:divBdr>
        </w:div>
        <w:div w:id="1554151170">
          <w:marLeft w:val="0"/>
          <w:marRight w:val="0"/>
          <w:marTop w:val="0"/>
          <w:marBottom w:val="0"/>
          <w:divBdr>
            <w:top w:val="none" w:sz="0" w:space="0" w:color="auto"/>
            <w:left w:val="none" w:sz="0" w:space="0" w:color="auto"/>
            <w:bottom w:val="none" w:sz="0" w:space="0" w:color="auto"/>
            <w:right w:val="none" w:sz="0" w:space="0" w:color="auto"/>
          </w:divBdr>
        </w:div>
        <w:div w:id="723479630">
          <w:marLeft w:val="0"/>
          <w:marRight w:val="0"/>
          <w:marTop w:val="0"/>
          <w:marBottom w:val="0"/>
          <w:divBdr>
            <w:top w:val="none" w:sz="0" w:space="0" w:color="auto"/>
            <w:left w:val="none" w:sz="0" w:space="0" w:color="auto"/>
            <w:bottom w:val="none" w:sz="0" w:space="0" w:color="auto"/>
            <w:right w:val="none" w:sz="0" w:space="0" w:color="auto"/>
          </w:divBdr>
        </w:div>
        <w:div w:id="559823124">
          <w:marLeft w:val="0"/>
          <w:marRight w:val="0"/>
          <w:marTop w:val="0"/>
          <w:marBottom w:val="0"/>
          <w:divBdr>
            <w:top w:val="none" w:sz="0" w:space="0" w:color="auto"/>
            <w:left w:val="none" w:sz="0" w:space="0" w:color="auto"/>
            <w:bottom w:val="none" w:sz="0" w:space="0" w:color="auto"/>
            <w:right w:val="none" w:sz="0" w:space="0" w:color="auto"/>
          </w:divBdr>
        </w:div>
        <w:div w:id="1108087750">
          <w:marLeft w:val="0"/>
          <w:marRight w:val="0"/>
          <w:marTop w:val="0"/>
          <w:marBottom w:val="0"/>
          <w:divBdr>
            <w:top w:val="none" w:sz="0" w:space="0" w:color="auto"/>
            <w:left w:val="none" w:sz="0" w:space="0" w:color="auto"/>
            <w:bottom w:val="none" w:sz="0" w:space="0" w:color="auto"/>
            <w:right w:val="none" w:sz="0" w:space="0" w:color="auto"/>
          </w:divBdr>
        </w:div>
        <w:div w:id="242493256">
          <w:marLeft w:val="0"/>
          <w:marRight w:val="0"/>
          <w:marTop w:val="0"/>
          <w:marBottom w:val="0"/>
          <w:divBdr>
            <w:top w:val="none" w:sz="0" w:space="0" w:color="auto"/>
            <w:left w:val="none" w:sz="0" w:space="0" w:color="auto"/>
            <w:bottom w:val="none" w:sz="0" w:space="0" w:color="auto"/>
            <w:right w:val="none" w:sz="0" w:space="0" w:color="auto"/>
          </w:divBdr>
        </w:div>
        <w:div w:id="9524888">
          <w:marLeft w:val="0"/>
          <w:marRight w:val="0"/>
          <w:marTop w:val="0"/>
          <w:marBottom w:val="0"/>
          <w:divBdr>
            <w:top w:val="none" w:sz="0" w:space="0" w:color="auto"/>
            <w:left w:val="none" w:sz="0" w:space="0" w:color="auto"/>
            <w:bottom w:val="none" w:sz="0" w:space="0" w:color="auto"/>
            <w:right w:val="none" w:sz="0" w:space="0" w:color="auto"/>
          </w:divBdr>
        </w:div>
        <w:div w:id="917248454">
          <w:marLeft w:val="0"/>
          <w:marRight w:val="0"/>
          <w:marTop w:val="0"/>
          <w:marBottom w:val="0"/>
          <w:divBdr>
            <w:top w:val="none" w:sz="0" w:space="0" w:color="auto"/>
            <w:left w:val="none" w:sz="0" w:space="0" w:color="auto"/>
            <w:bottom w:val="none" w:sz="0" w:space="0" w:color="auto"/>
            <w:right w:val="none" w:sz="0" w:space="0" w:color="auto"/>
          </w:divBdr>
        </w:div>
        <w:div w:id="1394505147">
          <w:marLeft w:val="0"/>
          <w:marRight w:val="0"/>
          <w:marTop w:val="0"/>
          <w:marBottom w:val="0"/>
          <w:divBdr>
            <w:top w:val="none" w:sz="0" w:space="0" w:color="auto"/>
            <w:left w:val="none" w:sz="0" w:space="0" w:color="auto"/>
            <w:bottom w:val="none" w:sz="0" w:space="0" w:color="auto"/>
            <w:right w:val="none" w:sz="0" w:space="0" w:color="auto"/>
          </w:divBdr>
        </w:div>
        <w:div w:id="905797733">
          <w:marLeft w:val="0"/>
          <w:marRight w:val="0"/>
          <w:marTop w:val="0"/>
          <w:marBottom w:val="0"/>
          <w:divBdr>
            <w:top w:val="none" w:sz="0" w:space="0" w:color="auto"/>
            <w:left w:val="none" w:sz="0" w:space="0" w:color="auto"/>
            <w:bottom w:val="none" w:sz="0" w:space="0" w:color="auto"/>
            <w:right w:val="none" w:sz="0" w:space="0" w:color="auto"/>
          </w:divBdr>
        </w:div>
        <w:div w:id="725446475">
          <w:marLeft w:val="0"/>
          <w:marRight w:val="0"/>
          <w:marTop w:val="0"/>
          <w:marBottom w:val="0"/>
          <w:divBdr>
            <w:top w:val="none" w:sz="0" w:space="0" w:color="auto"/>
            <w:left w:val="none" w:sz="0" w:space="0" w:color="auto"/>
            <w:bottom w:val="none" w:sz="0" w:space="0" w:color="auto"/>
            <w:right w:val="none" w:sz="0" w:space="0" w:color="auto"/>
          </w:divBdr>
        </w:div>
        <w:div w:id="987323762">
          <w:marLeft w:val="0"/>
          <w:marRight w:val="0"/>
          <w:marTop w:val="0"/>
          <w:marBottom w:val="0"/>
          <w:divBdr>
            <w:top w:val="none" w:sz="0" w:space="0" w:color="auto"/>
            <w:left w:val="none" w:sz="0" w:space="0" w:color="auto"/>
            <w:bottom w:val="none" w:sz="0" w:space="0" w:color="auto"/>
            <w:right w:val="none" w:sz="0" w:space="0" w:color="auto"/>
          </w:divBdr>
        </w:div>
        <w:div w:id="2096438675">
          <w:marLeft w:val="0"/>
          <w:marRight w:val="0"/>
          <w:marTop w:val="0"/>
          <w:marBottom w:val="0"/>
          <w:divBdr>
            <w:top w:val="none" w:sz="0" w:space="0" w:color="auto"/>
            <w:left w:val="none" w:sz="0" w:space="0" w:color="auto"/>
            <w:bottom w:val="none" w:sz="0" w:space="0" w:color="auto"/>
            <w:right w:val="none" w:sz="0" w:space="0" w:color="auto"/>
          </w:divBdr>
        </w:div>
        <w:div w:id="626202668">
          <w:marLeft w:val="0"/>
          <w:marRight w:val="0"/>
          <w:marTop w:val="0"/>
          <w:marBottom w:val="0"/>
          <w:divBdr>
            <w:top w:val="none" w:sz="0" w:space="0" w:color="auto"/>
            <w:left w:val="none" w:sz="0" w:space="0" w:color="auto"/>
            <w:bottom w:val="none" w:sz="0" w:space="0" w:color="auto"/>
            <w:right w:val="none" w:sz="0" w:space="0" w:color="auto"/>
          </w:divBdr>
        </w:div>
        <w:div w:id="1275212802">
          <w:marLeft w:val="0"/>
          <w:marRight w:val="0"/>
          <w:marTop w:val="0"/>
          <w:marBottom w:val="0"/>
          <w:divBdr>
            <w:top w:val="none" w:sz="0" w:space="0" w:color="auto"/>
            <w:left w:val="none" w:sz="0" w:space="0" w:color="auto"/>
            <w:bottom w:val="none" w:sz="0" w:space="0" w:color="auto"/>
            <w:right w:val="none" w:sz="0" w:space="0" w:color="auto"/>
          </w:divBdr>
        </w:div>
        <w:div w:id="964847094">
          <w:marLeft w:val="0"/>
          <w:marRight w:val="0"/>
          <w:marTop w:val="0"/>
          <w:marBottom w:val="0"/>
          <w:divBdr>
            <w:top w:val="none" w:sz="0" w:space="0" w:color="auto"/>
            <w:left w:val="none" w:sz="0" w:space="0" w:color="auto"/>
            <w:bottom w:val="none" w:sz="0" w:space="0" w:color="auto"/>
            <w:right w:val="none" w:sz="0" w:space="0" w:color="auto"/>
          </w:divBdr>
        </w:div>
        <w:div w:id="786509293">
          <w:marLeft w:val="0"/>
          <w:marRight w:val="0"/>
          <w:marTop w:val="0"/>
          <w:marBottom w:val="0"/>
          <w:divBdr>
            <w:top w:val="none" w:sz="0" w:space="0" w:color="auto"/>
            <w:left w:val="none" w:sz="0" w:space="0" w:color="auto"/>
            <w:bottom w:val="none" w:sz="0" w:space="0" w:color="auto"/>
            <w:right w:val="none" w:sz="0" w:space="0" w:color="auto"/>
          </w:divBdr>
        </w:div>
        <w:div w:id="2016105135">
          <w:marLeft w:val="0"/>
          <w:marRight w:val="0"/>
          <w:marTop w:val="0"/>
          <w:marBottom w:val="0"/>
          <w:divBdr>
            <w:top w:val="none" w:sz="0" w:space="0" w:color="auto"/>
            <w:left w:val="none" w:sz="0" w:space="0" w:color="auto"/>
            <w:bottom w:val="none" w:sz="0" w:space="0" w:color="auto"/>
            <w:right w:val="none" w:sz="0" w:space="0" w:color="auto"/>
          </w:divBdr>
        </w:div>
        <w:div w:id="296767763">
          <w:marLeft w:val="0"/>
          <w:marRight w:val="0"/>
          <w:marTop w:val="0"/>
          <w:marBottom w:val="0"/>
          <w:divBdr>
            <w:top w:val="none" w:sz="0" w:space="0" w:color="auto"/>
            <w:left w:val="none" w:sz="0" w:space="0" w:color="auto"/>
            <w:bottom w:val="none" w:sz="0" w:space="0" w:color="auto"/>
            <w:right w:val="none" w:sz="0" w:space="0" w:color="auto"/>
          </w:divBdr>
        </w:div>
        <w:div w:id="1472672707">
          <w:marLeft w:val="0"/>
          <w:marRight w:val="0"/>
          <w:marTop w:val="0"/>
          <w:marBottom w:val="0"/>
          <w:divBdr>
            <w:top w:val="none" w:sz="0" w:space="0" w:color="auto"/>
            <w:left w:val="none" w:sz="0" w:space="0" w:color="auto"/>
            <w:bottom w:val="none" w:sz="0" w:space="0" w:color="auto"/>
            <w:right w:val="none" w:sz="0" w:space="0" w:color="auto"/>
          </w:divBdr>
        </w:div>
        <w:div w:id="1700162533">
          <w:marLeft w:val="0"/>
          <w:marRight w:val="0"/>
          <w:marTop w:val="0"/>
          <w:marBottom w:val="0"/>
          <w:divBdr>
            <w:top w:val="none" w:sz="0" w:space="0" w:color="auto"/>
            <w:left w:val="none" w:sz="0" w:space="0" w:color="auto"/>
            <w:bottom w:val="none" w:sz="0" w:space="0" w:color="auto"/>
            <w:right w:val="none" w:sz="0" w:space="0" w:color="auto"/>
          </w:divBdr>
        </w:div>
        <w:div w:id="1632246585">
          <w:marLeft w:val="0"/>
          <w:marRight w:val="0"/>
          <w:marTop w:val="0"/>
          <w:marBottom w:val="0"/>
          <w:divBdr>
            <w:top w:val="none" w:sz="0" w:space="0" w:color="auto"/>
            <w:left w:val="none" w:sz="0" w:space="0" w:color="auto"/>
            <w:bottom w:val="none" w:sz="0" w:space="0" w:color="auto"/>
            <w:right w:val="none" w:sz="0" w:space="0" w:color="auto"/>
          </w:divBdr>
        </w:div>
        <w:div w:id="1864174320">
          <w:marLeft w:val="0"/>
          <w:marRight w:val="0"/>
          <w:marTop w:val="0"/>
          <w:marBottom w:val="0"/>
          <w:divBdr>
            <w:top w:val="none" w:sz="0" w:space="0" w:color="auto"/>
            <w:left w:val="none" w:sz="0" w:space="0" w:color="auto"/>
            <w:bottom w:val="none" w:sz="0" w:space="0" w:color="auto"/>
            <w:right w:val="none" w:sz="0" w:space="0" w:color="auto"/>
          </w:divBdr>
        </w:div>
        <w:div w:id="539130814">
          <w:marLeft w:val="0"/>
          <w:marRight w:val="0"/>
          <w:marTop w:val="0"/>
          <w:marBottom w:val="0"/>
          <w:divBdr>
            <w:top w:val="none" w:sz="0" w:space="0" w:color="auto"/>
            <w:left w:val="none" w:sz="0" w:space="0" w:color="auto"/>
            <w:bottom w:val="none" w:sz="0" w:space="0" w:color="auto"/>
            <w:right w:val="none" w:sz="0" w:space="0" w:color="auto"/>
          </w:divBdr>
        </w:div>
        <w:div w:id="1122579731">
          <w:marLeft w:val="0"/>
          <w:marRight w:val="0"/>
          <w:marTop w:val="0"/>
          <w:marBottom w:val="0"/>
          <w:divBdr>
            <w:top w:val="none" w:sz="0" w:space="0" w:color="auto"/>
            <w:left w:val="none" w:sz="0" w:space="0" w:color="auto"/>
            <w:bottom w:val="none" w:sz="0" w:space="0" w:color="auto"/>
            <w:right w:val="none" w:sz="0" w:space="0" w:color="auto"/>
          </w:divBdr>
        </w:div>
      </w:divsChild>
    </w:div>
    <w:div w:id="875124054">
      <w:bodyDiv w:val="1"/>
      <w:marLeft w:val="0"/>
      <w:marRight w:val="0"/>
      <w:marTop w:val="0"/>
      <w:marBottom w:val="0"/>
      <w:divBdr>
        <w:top w:val="none" w:sz="0" w:space="0" w:color="auto"/>
        <w:left w:val="none" w:sz="0" w:space="0" w:color="auto"/>
        <w:bottom w:val="none" w:sz="0" w:space="0" w:color="auto"/>
        <w:right w:val="none" w:sz="0" w:space="0" w:color="auto"/>
      </w:divBdr>
    </w:div>
    <w:div w:id="891423147">
      <w:bodyDiv w:val="1"/>
      <w:marLeft w:val="0"/>
      <w:marRight w:val="0"/>
      <w:marTop w:val="0"/>
      <w:marBottom w:val="0"/>
      <w:divBdr>
        <w:top w:val="none" w:sz="0" w:space="0" w:color="auto"/>
        <w:left w:val="none" w:sz="0" w:space="0" w:color="auto"/>
        <w:bottom w:val="none" w:sz="0" w:space="0" w:color="auto"/>
        <w:right w:val="none" w:sz="0" w:space="0" w:color="auto"/>
      </w:divBdr>
    </w:div>
    <w:div w:id="893808024">
      <w:bodyDiv w:val="1"/>
      <w:marLeft w:val="0"/>
      <w:marRight w:val="0"/>
      <w:marTop w:val="0"/>
      <w:marBottom w:val="0"/>
      <w:divBdr>
        <w:top w:val="none" w:sz="0" w:space="0" w:color="auto"/>
        <w:left w:val="none" w:sz="0" w:space="0" w:color="auto"/>
        <w:bottom w:val="none" w:sz="0" w:space="0" w:color="auto"/>
        <w:right w:val="none" w:sz="0" w:space="0" w:color="auto"/>
      </w:divBdr>
    </w:div>
    <w:div w:id="899827944">
      <w:bodyDiv w:val="1"/>
      <w:marLeft w:val="0"/>
      <w:marRight w:val="0"/>
      <w:marTop w:val="0"/>
      <w:marBottom w:val="0"/>
      <w:divBdr>
        <w:top w:val="none" w:sz="0" w:space="0" w:color="auto"/>
        <w:left w:val="none" w:sz="0" w:space="0" w:color="auto"/>
        <w:bottom w:val="none" w:sz="0" w:space="0" w:color="auto"/>
        <w:right w:val="none" w:sz="0" w:space="0" w:color="auto"/>
      </w:divBdr>
    </w:div>
    <w:div w:id="917597174">
      <w:bodyDiv w:val="1"/>
      <w:marLeft w:val="0"/>
      <w:marRight w:val="0"/>
      <w:marTop w:val="0"/>
      <w:marBottom w:val="0"/>
      <w:divBdr>
        <w:top w:val="none" w:sz="0" w:space="0" w:color="auto"/>
        <w:left w:val="none" w:sz="0" w:space="0" w:color="auto"/>
        <w:bottom w:val="none" w:sz="0" w:space="0" w:color="auto"/>
        <w:right w:val="none" w:sz="0" w:space="0" w:color="auto"/>
      </w:divBdr>
    </w:div>
    <w:div w:id="922108058">
      <w:bodyDiv w:val="1"/>
      <w:marLeft w:val="0"/>
      <w:marRight w:val="0"/>
      <w:marTop w:val="0"/>
      <w:marBottom w:val="0"/>
      <w:divBdr>
        <w:top w:val="none" w:sz="0" w:space="0" w:color="auto"/>
        <w:left w:val="none" w:sz="0" w:space="0" w:color="auto"/>
        <w:bottom w:val="none" w:sz="0" w:space="0" w:color="auto"/>
        <w:right w:val="none" w:sz="0" w:space="0" w:color="auto"/>
      </w:divBdr>
    </w:div>
    <w:div w:id="924605274">
      <w:bodyDiv w:val="1"/>
      <w:marLeft w:val="0"/>
      <w:marRight w:val="0"/>
      <w:marTop w:val="0"/>
      <w:marBottom w:val="0"/>
      <w:divBdr>
        <w:top w:val="none" w:sz="0" w:space="0" w:color="auto"/>
        <w:left w:val="none" w:sz="0" w:space="0" w:color="auto"/>
        <w:bottom w:val="none" w:sz="0" w:space="0" w:color="auto"/>
        <w:right w:val="none" w:sz="0" w:space="0" w:color="auto"/>
      </w:divBdr>
    </w:div>
    <w:div w:id="932058261">
      <w:bodyDiv w:val="1"/>
      <w:marLeft w:val="0"/>
      <w:marRight w:val="0"/>
      <w:marTop w:val="0"/>
      <w:marBottom w:val="0"/>
      <w:divBdr>
        <w:top w:val="none" w:sz="0" w:space="0" w:color="auto"/>
        <w:left w:val="none" w:sz="0" w:space="0" w:color="auto"/>
        <w:bottom w:val="none" w:sz="0" w:space="0" w:color="auto"/>
        <w:right w:val="none" w:sz="0" w:space="0" w:color="auto"/>
      </w:divBdr>
    </w:div>
    <w:div w:id="959190130">
      <w:bodyDiv w:val="1"/>
      <w:marLeft w:val="0"/>
      <w:marRight w:val="0"/>
      <w:marTop w:val="0"/>
      <w:marBottom w:val="0"/>
      <w:divBdr>
        <w:top w:val="none" w:sz="0" w:space="0" w:color="auto"/>
        <w:left w:val="none" w:sz="0" w:space="0" w:color="auto"/>
        <w:bottom w:val="none" w:sz="0" w:space="0" w:color="auto"/>
        <w:right w:val="none" w:sz="0" w:space="0" w:color="auto"/>
      </w:divBdr>
    </w:div>
    <w:div w:id="967203386">
      <w:bodyDiv w:val="1"/>
      <w:marLeft w:val="0"/>
      <w:marRight w:val="0"/>
      <w:marTop w:val="0"/>
      <w:marBottom w:val="0"/>
      <w:divBdr>
        <w:top w:val="none" w:sz="0" w:space="0" w:color="auto"/>
        <w:left w:val="none" w:sz="0" w:space="0" w:color="auto"/>
        <w:bottom w:val="none" w:sz="0" w:space="0" w:color="auto"/>
        <w:right w:val="none" w:sz="0" w:space="0" w:color="auto"/>
      </w:divBdr>
    </w:div>
    <w:div w:id="973099981">
      <w:bodyDiv w:val="1"/>
      <w:marLeft w:val="0"/>
      <w:marRight w:val="0"/>
      <w:marTop w:val="0"/>
      <w:marBottom w:val="0"/>
      <w:divBdr>
        <w:top w:val="none" w:sz="0" w:space="0" w:color="auto"/>
        <w:left w:val="none" w:sz="0" w:space="0" w:color="auto"/>
        <w:bottom w:val="none" w:sz="0" w:space="0" w:color="auto"/>
        <w:right w:val="none" w:sz="0" w:space="0" w:color="auto"/>
      </w:divBdr>
    </w:div>
    <w:div w:id="992636903">
      <w:bodyDiv w:val="1"/>
      <w:marLeft w:val="0"/>
      <w:marRight w:val="0"/>
      <w:marTop w:val="0"/>
      <w:marBottom w:val="0"/>
      <w:divBdr>
        <w:top w:val="none" w:sz="0" w:space="0" w:color="auto"/>
        <w:left w:val="none" w:sz="0" w:space="0" w:color="auto"/>
        <w:bottom w:val="none" w:sz="0" w:space="0" w:color="auto"/>
        <w:right w:val="none" w:sz="0" w:space="0" w:color="auto"/>
      </w:divBdr>
    </w:div>
    <w:div w:id="1050836233">
      <w:bodyDiv w:val="1"/>
      <w:marLeft w:val="0"/>
      <w:marRight w:val="0"/>
      <w:marTop w:val="0"/>
      <w:marBottom w:val="0"/>
      <w:divBdr>
        <w:top w:val="none" w:sz="0" w:space="0" w:color="auto"/>
        <w:left w:val="none" w:sz="0" w:space="0" w:color="auto"/>
        <w:bottom w:val="none" w:sz="0" w:space="0" w:color="auto"/>
        <w:right w:val="none" w:sz="0" w:space="0" w:color="auto"/>
      </w:divBdr>
    </w:div>
    <w:div w:id="1073428868">
      <w:bodyDiv w:val="1"/>
      <w:marLeft w:val="0"/>
      <w:marRight w:val="0"/>
      <w:marTop w:val="0"/>
      <w:marBottom w:val="0"/>
      <w:divBdr>
        <w:top w:val="none" w:sz="0" w:space="0" w:color="auto"/>
        <w:left w:val="none" w:sz="0" w:space="0" w:color="auto"/>
        <w:bottom w:val="none" w:sz="0" w:space="0" w:color="auto"/>
        <w:right w:val="none" w:sz="0" w:space="0" w:color="auto"/>
      </w:divBdr>
    </w:div>
    <w:div w:id="1084104992">
      <w:bodyDiv w:val="1"/>
      <w:marLeft w:val="0"/>
      <w:marRight w:val="0"/>
      <w:marTop w:val="0"/>
      <w:marBottom w:val="0"/>
      <w:divBdr>
        <w:top w:val="none" w:sz="0" w:space="0" w:color="auto"/>
        <w:left w:val="none" w:sz="0" w:space="0" w:color="auto"/>
        <w:bottom w:val="none" w:sz="0" w:space="0" w:color="auto"/>
        <w:right w:val="none" w:sz="0" w:space="0" w:color="auto"/>
      </w:divBdr>
      <w:divsChild>
        <w:div w:id="677083116">
          <w:marLeft w:val="0"/>
          <w:marRight w:val="0"/>
          <w:marTop w:val="0"/>
          <w:marBottom w:val="0"/>
          <w:divBdr>
            <w:top w:val="none" w:sz="0" w:space="0" w:color="auto"/>
            <w:left w:val="none" w:sz="0" w:space="0" w:color="auto"/>
            <w:bottom w:val="none" w:sz="0" w:space="0" w:color="auto"/>
            <w:right w:val="none" w:sz="0" w:space="0" w:color="auto"/>
          </w:divBdr>
          <w:divsChild>
            <w:div w:id="1580165838">
              <w:marLeft w:val="0"/>
              <w:marRight w:val="0"/>
              <w:marTop w:val="0"/>
              <w:marBottom w:val="0"/>
              <w:divBdr>
                <w:top w:val="none" w:sz="0" w:space="0" w:color="auto"/>
                <w:left w:val="none" w:sz="0" w:space="0" w:color="auto"/>
                <w:bottom w:val="none" w:sz="0" w:space="0" w:color="auto"/>
                <w:right w:val="none" w:sz="0" w:space="0" w:color="auto"/>
              </w:divBdr>
            </w:div>
            <w:div w:id="291987416">
              <w:marLeft w:val="0"/>
              <w:marRight w:val="0"/>
              <w:marTop w:val="0"/>
              <w:marBottom w:val="0"/>
              <w:divBdr>
                <w:top w:val="none" w:sz="0" w:space="0" w:color="auto"/>
                <w:left w:val="none" w:sz="0" w:space="0" w:color="auto"/>
                <w:bottom w:val="none" w:sz="0" w:space="0" w:color="auto"/>
                <w:right w:val="none" w:sz="0" w:space="0" w:color="auto"/>
              </w:divBdr>
            </w:div>
            <w:div w:id="272638574">
              <w:marLeft w:val="0"/>
              <w:marRight w:val="0"/>
              <w:marTop w:val="0"/>
              <w:marBottom w:val="0"/>
              <w:divBdr>
                <w:top w:val="none" w:sz="0" w:space="0" w:color="auto"/>
                <w:left w:val="none" w:sz="0" w:space="0" w:color="auto"/>
                <w:bottom w:val="none" w:sz="0" w:space="0" w:color="auto"/>
                <w:right w:val="none" w:sz="0" w:space="0" w:color="auto"/>
              </w:divBdr>
            </w:div>
            <w:div w:id="1760831981">
              <w:marLeft w:val="0"/>
              <w:marRight w:val="0"/>
              <w:marTop w:val="0"/>
              <w:marBottom w:val="0"/>
              <w:divBdr>
                <w:top w:val="none" w:sz="0" w:space="0" w:color="auto"/>
                <w:left w:val="none" w:sz="0" w:space="0" w:color="auto"/>
                <w:bottom w:val="none" w:sz="0" w:space="0" w:color="auto"/>
                <w:right w:val="none" w:sz="0" w:space="0" w:color="auto"/>
              </w:divBdr>
            </w:div>
            <w:div w:id="247277287">
              <w:marLeft w:val="0"/>
              <w:marRight w:val="0"/>
              <w:marTop w:val="0"/>
              <w:marBottom w:val="0"/>
              <w:divBdr>
                <w:top w:val="none" w:sz="0" w:space="0" w:color="auto"/>
                <w:left w:val="none" w:sz="0" w:space="0" w:color="auto"/>
                <w:bottom w:val="none" w:sz="0" w:space="0" w:color="auto"/>
                <w:right w:val="none" w:sz="0" w:space="0" w:color="auto"/>
              </w:divBdr>
            </w:div>
            <w:div w:id="10488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573726">
      <w:bodyDiv w:val="1"/>
      <w:marLeft w:val="0"/>
      <w:marRight w:val="0"/>
      <w:marTop w:val="0"/>
      <w:marBottom w:val="0"/>
      <w:divBdr>
        <w:top w:val="none" w:sz="0" w:space="0" w:color="auto"/>
        <w:left w:val="none" w:sz="0" w:space="0" w:color="auto"/>
        <w:bottom w:val="none" w:sz="0" w:space="0" w:color="auto"/>
        <w:right w:val="none" w:sz="0" w:space="0" w:color="auto"/>
      </w:divBdr>
    </w:div>
    <w:div w:id="1084960470">
      <w:bodyDiv w:val="1"/>
      <w:marLeft w:val="0"/>
      <w:marRight w:val="0"/>
      <w:marTop w:val="0"/>
      <w:marBottom w:val="0"/>
      <w:divBdr>
        <w:top w:val="none" w:sz="0" w:space="0" w:color="auto"/>
        <w:left w:val="none" w:sz="0" w:space="0" w:color="auto"/>
        <w:bottom w:val="none" w:sz="0" w:space="0" w:color="auto"/>
        <w:right w:val="none" w:sz="0" w:space="0" w:color="auto"/>
      </w:divBdr>
    </w:div>
    <w:div w:id="1094790493">
      <w:bodyDiv w:val="1"/>
      <w:marLeft w:val="0"/>
      <w:marRight w:val="0"/>
      <w:marTop w:val="0"/>
      <w:marBottom w:val="0"/>
      <w:divBdr>
        <w:top w:val="none" w:sz="0" w:space="0" w:color="auto"/>
        <w:left w:val="none" w:sz="0" w:space="0" w:color="auto"/>
        <w:bottom w:val="none" w:sz="0" w:space="0" w:color="auto"/>
        <w:right w:val="none" w:sz="0" w:space="0" w:color="auto"/>
      </w:divBdr>
    </w:div>
    <w:div w:id="1097797147">
      <w:bodyDiv w:val="1"/>
      <w:marLeft w:val="0"/>
      <w:marRight w:val="0"/>
      <w:marTop w:val="0"/>
      <w:marBottom w:val="0"/>
      <w:divBdr>
        <w:top w:val="none" w:sz="0" w:space="0" w:color="auto"/>
        <w:left w:val="none" w:sz="0" w:space="0" w:color="auto"/>
        <w:bottom w:val="none" w:sz="0" w:space="0" w:color="auto"/>
        <w:right w:val="none" w:sz="0" w:space="0" w:color="auto"/>
      </w:divBdr>
    </w:div>
    <w:div w:id="1101146157">
      <w:bodyDiv w:val="1"/>
      <w:marLeft w:val="0"/>
      <w:marRight w:val="0"/>
      <w:marTop w:val="0"/>
      <w:marBottom w:val="0"/>
      <w:divBdr>
        <w:top w:val="none" w:sz="0" w:space="0" w:color="auto"/>
        <w:left w:val="none" w:sz="0" w:space="0" w:color="auto"/>
        <w:bottom w:val="none" w:sz="0" w:space="0" w:color="auto"/>
        <w:right w:val="none" w:sz="0" w:space="0" w:color="auto"/>
      </w:divBdr>
      <w:divsChild>
        <w:div w:id="1562206169">
          <w:marLeft w:val="0"/>
          <w:marRight w:val="0"/>
          <w:marTop w:val="0"/>
          <w:marBottom w:val="0"/>
          <w:divBdr>
            <w:top w:val="none" w:sz="0" w:space="0" w:color="auto"/>
            <w:left w:val="none" w:sz="0" w:space="0" w:color="auto"/>
            <w:bottom w:val="none" w:sz="0" w:space="0" w:color="auto"/>
            <w:right w:val="none" w:sz="0" w:space="0" w:color="auto"/>
          </w:divBdr>
        </w:div>
        <w:div w:id="628558341">
          <w:marLeft w:val="0"/>
          <w:marRight w:val="0"/>
          <w:marTop w:val="0"/>
          <w:marBottom w:val="0"/>
          <w:divBdr>
            <w:top w:val="none" w:sz="0" w:space="0" w:color="auto"/>
            <w:left w:val="none" w:sz="0" w:space="0" w:color="auto"/>
            <w:bottom w:val="none" w:sz="0" w:space="0" w:color="auto"/>
            <w:right w:val="none" w:sz="0" w:space="0" w:color="auto"/>
          </w:divBdr>
        </w:div>
        <w:div w:id="1546024061">
          <w:marLeft w:val="0"/>
          <w:marRight w:val="0"/>
          <w:marTop w:val="0"/>
          <w:marBottom w:val="0"/>
          <w:divBdr>
            <w:top w:val="none" w:sz="0" w:space="0" w:color="auto"/>
            <w:left w:val="none" w:sz="0" w:space="0" w:color="auto"/>
            <w:bottom w:val="none" w:sz="0" w:space="0" w:color="auto"/>
            <w:right w:val="none" w:sz="0" w:space="0" w:color="auto"/>
          </w:divBdr>
        </w:div>
        <w:div w:id="464813620">
          <w:marLeft w:val="0"/>
          <w:marRight w:val="0"/>
          <w:marTop w:val="0"/>
          <w:marBottom w:val="0"/>
          <w:divBdr>
            <w:top w:val="none" w:sz="0" w:space="0" w:color="auto"/>
            <w:left w:val="none" w:sz="0" w:space="0" w:color="auto"/>
            <w:bottom w:val="none" w:sz="0" w:space="0" w:color="auto"/>
            <w:right w:val="none" w:sz="0" w:space="0" w:color="auto"/>
          </w:divBdr>
        </w:div>
        <w:div w:id="1341396547">
          <w:marLeft w:val="0"/>
          <w:marRight w:val="0"/>
          <w:marTop w:val="0"/>
          <w:marBottom w:val="0"/>
          <w:divBdr>
            <w:top w:val="none" w:sz="0" w:space="0" w:color="auto"/>
            <w:left w:val="none" w:sz="0" w:space="0" w:color="auto"/>
            <w:bottom w:val="none" w:sz="0" w:space="0" w:color="auto"/>
            <w:right w:val="none" w:sz="0" w:space="0" w:color="auto"/>
          </w:divBdr>
        </w:div>
        <w:div w:id="617489049">
          <w:marLeft w:val="0"/>
          <w:marRight w:val="0"/>
          <w:marTop w:val="0"/>
          <w:marBottom w:val="0"/>
          <w:divBdr>
            <w:top w:val="none" w:sz="0" w:space="0" w:color="auto"/>
            <w:left w:val="none" w:sz="0" w:space="0" w:color="auto"/>
            <w:bottom w:val="none" w:sz="0" w:space="0" w:color="auto"/>
            <w:right w:val="none" w:sz="0" w:space="0" w:color="auto"/>
          </w:divBdr>
        </w:div>
        <w:div w:id="1330252678">
          <w:marLeft w:val="0"/>
          <w:marRight w:val="0"/>
          <w:marTop w:val="0"/>
          <w:marBottom w:val="0"/>
          <w:divBdr>
            <w:top w:val="none" w:sz="0" w:space="0" w:color="auto"/>
            <w:left w:val="none" w:sz="0" w:space="0" w:color="auto"/>
            <w:bottom w:val="none" w:sz="0" w:space="0" w:color="auto"/>
            <w:right w:val="none" w:sz="0" w:space="0" w:color="auto"/>
          </w:divBdr>
        </w:div>
        <w:div w:id="385304062">
          <w:marLeft w:val="0"/>
          <w:marRight w:val="0"/>
          <w:marTop w:val="0"/>
          <w:marBottom w:val="0"/>
          <w:divBdr>
            <w:top w:val="none" w:sz="0" w:space="0" w:color="auto"/>
            <w:left w:val="none" w:sz="0" w:space="0" w:color="auto"/>
            <w:bottom w:val="none" w:sz="0" w:space="0" w:color="auto"/>
            <w:right w:val="none" w:sz="0" w:space="0" w:color="auto"/>
          </w:divBdr>
        </w:div>
        <w:div w:id="908614070">
          <w:marLeft w:val="0"/>
          <w:marRight w:val="0"/>
          <w:marTop w:val="0"/>
          <w:marBottom w:val="0"/>
          <w:divBdr>
            <w:top w:val="none" w:sz="0" w:space="0" w:color="auto"/>
            <w:left w:val="none" w:sz="0" w:space="0" w:color="auto"/>
            <w:bottom w:val="none" w:sz="0" w:space="0" w:color="auto"/>
            <w:right w:val="none" w:sz="0" w:space="0" w:color="auto"/>
          </w:divBdr>
        </w:div>
      </w:divsChild>
    </w:div>
    <w:div w:id="1104961797">
      <w:bodyDiv w:val="1"/>
      <w:marLeft w:val="0"/>
      <w:marRight w:val="0"/>
      <w:marTop w:val="0"/>
      <w:marBottom w:val="0"/>
      <w:divBdr>
        <w:top w:val="none" w:sz="0" w:space="0" w:color="auto"/>
        <w:left w:val="none" w:sz="0" w:space="0" w:color="auto"/>
        <w:bottom w:val="none" w:sz="0" w:space="0" w:color="auto"/>
        <w:right w:val="none" w:sz="0" w:space="0" w:color="auto"/>
      </w:divBdr>
    </w:div>
    <w:div w:id="1118332913">
      <w:bodyDiv w:val="1"/>
      <w:marLeft w:val="0"/>
      <w:marRight w:val="0"/>
      <w:marTop w:val="0"/>
      <w:marBottom w:val="0"/>
      <w:divBdr>
        <w:top w:val="none" w:sz="0" w:space="0" w:color="auto"/>
        <w:left w:val="none" w:sz="0" w:space="0" w:color="auto"/>
        <w:bottom w:val="none" w:sz="0" w:space="0" w:color="auto"/>
        <w:right w:val="none" w:sz="0" w:space="0" w:color="auto"/>
      </w:divBdr>
    </w:div>
    <w:div w:id="1189248691">
      <w:bodyDiv w:val="1"/>
      <w:marLeft w:val="0"/>
      <w:marRight w:val="0"/>
      <w:marTop w:val="0"/>
      <w:marBottom w:val="0"/>
      <w:divBdr>
        <w:top w:val="none" w:sz="0" w:space="0" w:color="auto"/>
        <w:left w:val="none" w:sz="0" w:space="0" w:color="auto"/>
        <w:bottom w:val="none" w:sz="0" w:space="0" w:color="auto"/>
        <w:right w:val="none" w:sz="0" w:space="0" w:color="auto"/>
      </w:divBdr>
    </w:div>
    <w:div w:id="1198159455">
      <w:bodyDiv w:val="1"/>
      <w:marLeft w:val="0"/>
      <w:marRight w:val="0"/>
      <w:marTop w:val="0"/>
      <w:marBottom w:val="0"/>
      <w:divBdr>
        <w:top w:val="none" w:sz="0" w:space="0" w:color="auto"/>
        <w:left w:val="none" w:sz="0" w:space="0" w:color="auto"/>
        <w:bottom w:val="none" w:sz="0" w:space="0" w:color="auto"/>
        <w:right w:val="none" w:sz="0" w:space="0" w:color="auto"/>
      </w:divBdr>
    </w:div>
    <w:div w:id="1244486590">
      <w:bodyDiv w:val="1"/>
      <w:marLeft w:val="0"/>
      <w:marRight w:val="0"/>
      <w:marTop w:val="0"/>
      <w:marBottom w:val="0"/>
      <w:divBdr>
        <w:top w:val="none" w:sz="0" w:space="0" w:color="auto"/>
        <w:left w:val="none" w:sz="0" w:space="0" w:color="auto"/>
        <w:bottom w:val="none" w:sz="0" w:space="0" w:color="auto"/>
        <w:right w:val="none" w:sz="0" w:space="0" w:color="auto"/>
      </w:divBdr>
    </w:div>
    <w:div w:id="1253202627">
      <w:bodyDiv w:val="1"/>
      <w:marLeft w:val="0"/>
      <w:marRight w:val="0"/>
      <w:marTop w:val="0"/>
      <w:marBottom w:val="0"/>
      <w:divBdr>
        <w:top w:val="none" w:sz="0" w:space="0" w:color="auto"/>
        <w:left w:val="none" w:sz="0" w:space="0" w:color="auto"/>
        <w:bottom w:val="none" w:sz="0" w:space="0" w:color="auto"/>
        <w:right w:val="none" w:sz="0" w:space="0" w:color="auto"/>
      </w:divBdr>
    </w:div>
    <w:div w:id="1286043973">
      <w:bodyDiv w:val="1"/>
      <w:marLeft w:val="0"/>
      <w:marRight w:val="0"/>
      <w:marTop w:val="0"/>
      <w:marBottom w:val="0"/>
      <w:divBdr>
        <w:top w:val="none" w:sz="0" w:space="0" w:color="auto"/>
        <w:left w:val="none" w:sz="0" w:space="0" w:color="auto"/>
        <w:bottom w:val="none" w:sz="0" w:space="0" w:color="auto"/>
        <w:right w:val="none" w:sz="0" w:space="0" w:color="auto"/>
      </w:divBdr>
    </w:div>
    <w:div w:id="1351758340">
      <w:bodyDiv w:val="1"/>
      <w:marLeft w:val="0"/>
      <w:marRight w:val="0"/>
      <w:marTop w:val="0"/>
      <w:marBottom w:val="0"/>
      <w:divBdr>
        <w:top w:val="none" w:sz="0" w:space="0" w:color="auto"/>
        <w:left w:val="none" w:sz="0" w:space="0" w:color="auto"/>
        <w:bottom w:val="none" w:sz="0" w:space="0" w:color="auto"/>
        <w:right w:val="none" w:sz="0" w:space="0" w:color="auto"/>
      </w:divBdr>
    </w:div>
    <w:div w:id="1359235449">
      <w:bodyDiv w:val="1"/>
      <w:marLeft w:val="0"/>
      <w:marRight w:val="0"/>
      <w:marTop w:val="0"/>
      <w:marBottom w:val="0"/>
      <w:divBdr>
        <w:top w:val="none" w:sz="0" w:space="0" w:color="auto"/>
        <w:left w:val="none" w:sz="0" w:space="0" w:color="auto"/>
        <w:bottom w:val="none" w:sz="0" w:space="0" w:color="auto"/>
        <w:right w:val="none" w:sz="0" w:space="0" w:color="auto"/>
      </w:divBdr>
    </w:div>
    <w:div w:id="1372653496">
      <w:bodyDiv w:val="1"/>
      <w:marLeft w:val="0"/>
      <w:marRight w:val="0"/>
      <w:marTop w:val="0"/>
      <w:marBottom w:val="0"/>
      <w:divBdr>
        <w:top w:val="none" w:sz="0" w:space="0" w:color="auto"/>
        <w:left w:val="none" w:sz="0" w:space="0" w:color="auto"/>
        <w:bottom w:val="none" w:sz="0" w:space="0" w:color="auto"/>
        <w:right w:val="none" w:sz="0" w:space="0" w:color="auto"/>
      </w:divBdr>
    </w:div>
    <w:div w:id="1382483093">
      <w:bodyDiv w:val="1"/>
      <w:marLeft w:val="0"/>
      <w:marRight w:val="0"/>
      <w:marTop w:val="0"/>
      <w:marBottom w:val="0"/>
      <w:divBdr>
        <w:top w:val="none" w:sz="0" w:space="0" w:color="auto"/>
        <w:left w:val="none" w:sz="0" w:space="0" w:color="auto"/>
        <w:bottom w:val="none" w:sz="0" w:space="0" w:color="auto"/>
        <w:right w:val="none" w:sz="0" w:space="0" w:color="auto"/>
      </w:divBdr>
    </w:div>
    <w:div w:id="1402101438">
      <w:bodyDiv w:val="1"/>
      <w:marLeft w:val="0"/>
      <w:marRight w:val="0"/>
      <w:marTop w:val="0"/>
      <w:marBottom w:val="0"/>
      <w:divBdr>
        <w:top w:val="none" w:sz="0" w:space="0" w:color="auto"/>
        <w:left w:val="none" w:sz="0" w:space="0" w:color="auto"/>
        <w:bottom w:val="none" w:sz="0" w:space="0" w:color="auto"/>
        <w:right w:val="none" w:sz="0" w:space="0" w:color="auto"/>
      </w:divBdr>
    </w:div>
    <w:div w:id="1423721127">
      <w:bodyDiv w:val="1"/>
      <w:marLeft w:val="0"/>
      <w:marRight w:val="0"/>
      <w:marTop w:val="0"/>
      <w:marBottom w:val="0"/>
      <w:divBdr>
        <w:top w:val="none" w:sz="0" w:space="0" w:color="auto"/>
        <w:left w:val="none" w:sz="0" w:space="0" w:color="auto"/>
        <w:bottom w:val="none" w:sz="0" w:space="0" w:color="auto"/>
        <w:right w:val="none" w:sz="0" w:space="0" w:color="auto"/>
      </w:divBdr>
    </w:div>
    <w:div w:id="1436436323">
      <w:bodyDiv w:val="1"/>
      <w:marLeft w:val="0"/>
      <w:marRight w:val="0"/>
      <w:marTop w:val="0"/>
      <w:marBottom w:val="0"/>
      <w:divBdr>
        <w:top w:val="none" w:sz="0" w:space="0" w:color="auto"/>
        <w:left w:val="none" w:sz="0" w:space="0" w:color="auto"/>
        <w:bottom w:val="none" w:sz="0" w:space="0" w:color="auto"/>
        <w:right w:val="none" w:sz="0" w:space="0" w:color="auto"/>
      </w:divBdr>
    </w:div>
    <w:div w:id="1449928186">
      <w:bodyDiv w:val="1"/>
      <w:marLeft w:val="0"/>
      <w:marRight w:val="0"/>
      <w:marTop w:val="0"/>
      <w:marBottom w:val="0"/>
      <w:divBdr>
        <w:top w:val="none" w:sz="0" w:space="0" w:color="auto"/>
        <w:left w:val="none" w:sz="0" w:space="0" w:color="auto"/>
        <w:bottom w:val="none" w:sz="0" w:space="0" w:color="auto"/>
        <w:right w:val="none" w:sz="0" w:space="0" w:color="auto"/>
      </w:divBdr>
    </w:div>
    <w:div w:id="1465583537">
      <w:bodyDiv w:val="1"/>
      <w:marLeft w:val="0"/>
      <w:marRight w:val="0"/>
      <w:marTop w:val="0"/>
      <w:marBottom w:val="0"/>
      <w:divBdr>
        <w:top w:val="none" w:sz="0" w:space="0" w:color="auto"/>
        <w:left w:val="none" w:sz="0" w:space="0" w:color="auto"/>
        <w:bottom w:val="none" w:sz="0" w:space="0" w:color="auto"/>
        <w:right w:val="none" w:sz="0" w:space="0" w:color="auto"/>
      </w:divBdr>
    </w:div>
    <w:div w:id="1483155075">
      <w:bodyDiv w:val="1"/>
      <w:marLeft w:val="0"/>
      <w:marRight w:val="0"/>
      <w:marTop w:val="0"/>
      <w:marBottom w:val="0"/>
      <w:divBdr>
        <w:top w:val="none" w:sz="0" w:space="0" w:color="auto"/>
        <w:left w:val="none" w:sz="0" w:space="0" w:color="auto"/>
        <w:bottom w:val="none" w:sz="0" w:space="0" w:color="auto"/>
        <w:right w:val="none" w:sz="0" w:space="0" w:color="auto"/>
      </w:divBdr>
    </w:div>
    <w:div w:id="1536694712">
      <w:bodyDiv w:val="1"/>
      <w:marLeft w:val="0"/>
      <w:marRight w:val="0"/>
      <w:marTop w:val="0"/>
      <w:marBottom w:val="0"/>
      <w:divBdr>
        <w:top w:val="none" w:sz="0" w:space="0" w:color="auto"/>
        <w:left w:val="none" w:sz="0" w:space="0" w:color="auto"/>
        <w:bottom w:val="none" w:sz="0" w:space="0" w:color="auto"/>
        <w:right w:val="none" w:sz="0" w:space="0" w:color="auto"/>
      </w:divBdr>
    </w:div>
    <w:div w:id="1548683339">
      <w:bodyDiv w:val="1"/>
      <w:marLeft w:val="0"/>
      <w:marRight w:val="0"/>
      <w:marTop w:val="0"/>
      <w:marBottom w:val="0"/>
      <w:divBdr>
        <w:top w:val="none" w:sz="0" w:space="0" w:color="auto"/>
        <w:left w:val="none" w:sz="0" w:space="0" w:color="auto"/>
        <w:bottom w:val="none" w:sz="0" w:space="0" w:color="auto"/>
        <w:right w:val="none" w:sz="0" w:space="0" w:color="auto"/>
      </w:divBdr>
    </w:div>
    <w:div w:id="1595357188">
      <w:bodyDiv w:val="1"/>
      <w:marLeft w:val="0"/>
      <w:marRight w:val="0"/>
      <w:marTop w:val="0"/>
      <w:marBottom w:val="0"/>
      <w:divBdr>
        <w:top w:val="none" w:sz="0" w:space="0" w:color="auto"/>
        <w:left w:val="none" w:sz="0" w:space="0" w:color="auto"/>
        <w:bottom w:val="none" w:sz="0" w:space="0" w:color="auto"/>
        <w:right w:val="none" w:sz="0" w:space="0" w:color="auto"/>
      </w:divBdr>
    </w:div>
    <w:div w:id="1599288947">
      <w:bodyDiv w:val="1"/>
      <w:marLeft w:val="0"/>
      <w:marRight w:val="0"/>
      <w:marTop w:val="0"/>
      <w:marBottom w:val="0"/>
      <w:divBdr>
        <w:top w:val="none" w:sz="0" w:space="0" w:color="auto"/>
        <w:left w:val="none" w:sz="0" w:space="0" w:color="auto"/>
        <w:bottom w:val="none" w:sz="0" w:space="0" w:color="auto"/>
        <w:right w:val="none" w:sz="0" w:space="0" w:color="auto"/>
      </w:divBdr>
    </w:div>
    <w:div w:id="1610119716">
      <w:bodyDiv w:val="1"/>
      <w:marLeft w:val="0"/>
      <w:marRight w:val="0"/>
      <w:marTop w:val="0"/>
      <w:marBottom w:val="0"/>
      <w:divBdr>
        <w:top w:val="none" w:sz="0" w:space="0" w:color="auto"/>
        <w:left w:val="none" w:sz="0" w:space="0" w:color="auto"/>
        <w:bottom w:val="none" w:sz="0" w:space="0" w:color="auto"/>
        <w:right w:val="none" w:sz="0" w:space="0" w:color="auto"/>
      </w:divBdr>
    </w:div>
    <w:div w:id="1610309593">
      <w:bodyDiv w:val="1"/>
      <w:marLeft w:val="0"/>
      <w:marRight w:val="0"/>
      <w:marTop w:val="0"/>
      <w:marBottom w:val="0"/>
      <w:divBdr>
        <w:top w:val="none" w:sz="0" w:space="0" w:color="auto"/>
        <w:left w:val="none" w:sz="0" w:space="0" w:color="auto"/>
        <w:bottom w:val="none" w:sz="0" w:space="0" w:color="auto"/>
        <w:right w:val="none" w:sz="0" w:space="0" w:color="auto"/>
      </w:divBdr>
    </w:div>
    <w:div w:id="1627155374">
      <w:bodyDiv w:val="1"/>
      <w:marLeft w:val="0"/>
      <w:marRight w:val="0"/>
      <w:marTop w:val="0"/>
      <w:marBottom w:val="0"/>
      <w:divBdr>
        <w:top w:val="none" w:sz="0" w:space="0" w:color="auto"/>
        <w:left w:val="none" w:sz="0" w:space="0" w:color="auto"/>
        <w:bottom w:val="none" w:sz="0" w:space="0" w:color="auto"/>
        <w:right w:val="none" w:sz="0" w:space="0" w:color="auto"/>
      </w:divBdr>
    </w:div>
    <w:div w:id="1643341342">
      <w:bodyDiv w:val="1"/>
      <w:marLeft w:val="0"/>
      <w:marRight w:val="0"/>
      <w:marTop w:val="0"/>
      <w:marBottom w:val="0"/>
      <w:divBdr>
        <w:top w:val="none" w:sz="0" w:space="0" w:color="auto"/>
        <w:left w:val="none" w:sz="0" w:space="0" w:color="auto"/>
        <w:bottom w:val="none" w:sz="0" w:space="0" w:color="auto"/>
        <w:right w:val="none" w:sz="0" w:space="0" w:color="auto"/>
      </w:divBdr>
      <w:divsChild>
        <w:div w:id="620920271">
          <w:marLeft w:val="0"/>
          <w:marRight w:val="0"/>
          <w:marTop w:val="0"/>
          <w:marBottom w:val="0"/>
          <w:divBdr>
            <w:top w:val="none" w:sz="0" w:space="0" w:color="auto"/>
            <w:left w:val="none" w:sz="0" w:space="0" w:color="auto"/>
            <w:bottom w:val="none" w:sz="0" w:space="0" w:color="auto"/>
            <w:right w:val="none" w:sz="0" w:space="0" w:color="auto"/>
          </w:divBdr>
        </w:div>
        <w:div w:id="740172724">
          <w:marLeft w:val="0"/>
          <w:marRight w:val="0"/>
          <w:marTop w:val="0"/>
          <w:marBottom w:val="0"/>
          <w:divBdr>
            <w:top w:val="none" w:sz="0" w:space="0" w:color="auto"/>
            <w:left w:val="none" w:sz="0" w:space="0" w:color="auto"/>
            <w:bottom w:val="none" w:sz="0" w:space="0" w:color="auto"/>
            <w:right w:val="none" w:sz="0" w:space="0" w:color="auto"/>
          </w:divBdr>
        </w:div>
        <w:div w:id="1352485643">
          <w:marLeft w:val="0"/>
          <w:marRight w:val="0"/>
          <w:marTop w:val="0"/>
          <w:marBottom w:val="0"/>
          <w:divBdr>
            <w:top w:val="none" w:sz="0" w:space="0" w:color="auto"/>
            <w:left w:val="none" w:sz="0" w:space="0" w:color="auto"/>
            <w:bottom w:val="none" w:sz="0" w:space="0" w:color="auto"/>
            <w:right w:val="none" w:sz="0" w:space="0" w:color="auto"/>
          </w:divBdr>
        </w:div>
        <w:div w:id="256407203">
          <w:marLeft w:val="0"/>
          <w:marRight w:val="0"/>
          <w:marTop w:val="0"/>
          <w:marBottom w:val="0"/>
          <w:divBdr>
            <w:top w:val="none" w:sz="0" w:space="0" w:color="auto"/>
            <w:left w:val="none" w:sz="0" w:space="0" w:color="auto"/>
            <w:bottom w:val="none" w:sz="0" w:space="0" w:color="auto"/>
            <w:right w:val="none" w:sz="0" w:space="0" w:color="auto"/>
          </w:divBdr>
        </w:div>
        <w:div w:id="42564849">
          <w:marLeft w:val="0"/>
          <w:marRight w:val="0"/>
          <w:marTop w:val="0"/>
          <w:marBottom w:val="0"/>
          <w:divBdr>
            <w:top w:val="none" w:sz="0" w:space="0" w:color="auto"/>
            <w:left w:val="none" w:sz="0" w:space="0" w:color="auto"/>
            <w:bottom w:val="none" w:sz="0" w:space="0" w:color="auto"/>
            <w:right w:val="none" w:sz="0" w:space="0" w:color="auto"/>
          </w:divBdr>
        </w:div>
      </w:divsChild>
    </w:div>
    <w:div w:id="1645043106">
      <w:bodyDiv w:val="1"/>
      <w:marLeft w:val="0"/>
      <w:marRight w:val="0"/>
      <w:marTop w:val="0"/>
      <w:marBottom w:val="0"/>
      <w:divBdr>
        <w:top w:val="none" w:sz="0" w:space="0" w:color="auto"/>
        <w:left w:val="none" w:sz="0" w:space="0" w:color="auto"/>
        <w:bottom w:val="none" w:sz="0" w:space="0" w:color="auto"/>
        <w:right w:val="none" w:sz="0" w:space="0" w:color="auto"/>
      </w:divBdr>
    </w:div>
    <w:div w:id="1661497057">
      <w:bodyDiv w:val="1"/>
      <w:marLeft w:val="0"/>
      <w:marRight w:val="0"/>
      <w:marTop w:val="0"/>
      <w:marBottom w:val="0"/>
      <w:divBdr>
        <w:top w:val="none" w:sz="0" w:space="0" w:color="auto"/>
        <w:left w:val="none" w:sz="0" w:space="0" w:color="auto"/>
        <w:bottom w:val="none" w:sz="0" w:space="0" w:color="auto"/>
        <w:right w:val="none" w:sz="0" w:space="0" w:color="auto"/>
      </w:divBdr>
    </w:div>
    <w:div w:id="1680891495">
      <w:bodyDiv w:val="1"/>
      <w:marLeft w:val="0"/>
      <w:marRight w:val="0"/>
      <w:marTop w:val="0"/>
      <w:marBottom w:val="0"/>
      <w:divBdr>
        <w:top w:val="none" w:sz="0" w:space="0" w:color="auto"/>
        <w:left w:val="none" w:sz="0" w:space="0" w:color="auto"/>
        <w:bottom w:val="none" w:sz="0" w:space="0" w:color="auto"/>
        <w:right w:val="none" w:sz="0" w:space="0" w:color="auto"/>
      </w:divBdr>
    </w:div>
    <w:div w:id="1689716597">
      <w:bodyDiv w:val="1"/>
      <w:marLeft w:val="0"/>
      <w:marRight w:val="0"/>
      <w:marTop w:val="0"/>
      <w:marBottom w:val="0"/>
      <w:divBdr>
        <w:top w:val="none" w:sz="0" w:space="0" w:color="auto"/>
        <w:left w:val="none" w:sz="0" w:space="0" w:color="auto"/>
        <w:bottom w:val="none" w:sz="0" w:space="0" w:color="auto"/>
        <w:right w:val="none" w:sz="0" w:space="0" w:color="auto"/>
      </w:divBdr>
    </w:div>
    <w:div w:id="1700203788">
      <w:bodyDiv w:val="1"/>
      <w:marLeft w:val="0"/>
      <w:marRight w:val="0"/>
      <w:marTop w:val="0"/>
      <w:marBottom w:val="0"/>
      <w:divBdr>
        <w:top w:val="none" w:sz="0" w:space="0" w:color="auto"/>
        <w:left w:val="none" w:sz="0" w:space="0" w:color="auto"/>
        <w:bottom w:val="none" w:sz="0" w:space="0" w:color="auto"/>
        <w:right w:val="none" w:sz="0" w:space="0" w:color="auto"/>
      </w:divBdr>
    </w:div>
    <w:div w:id="1727684938">
      <w:bodyDiv w:val="1"/>
      <w:marLeft w:val="0"/>
      <w:marRight w:val="0"/>
      <w:marTop w:val="0"/>
      <w:marBottom w:val="0"/>
      <w:divBdr>
        <w:top w:val="none" w:sz="0" w:space="0" w:color="auto"/>
        <w:left w:val="none" w:sz="0" w:space="0" w:color="auto"/>
        <w:bottom w:val="none" w:sz="0" w:space="0" w:color="auto"/>
        <w:right w:val="none" w:sz="0" w:space="0" w:color="auto"/>
      </w:divBdr>
    </w:div>
    <w:div w:id="1728264303">
      <w:bodyDiv w:val="1"/>
      <w:marLeft w:val="0"/>
      <w:marRight w:val="0"/>
      <w:marTop w:val="0"/>
      <w:marBottom w:val="0"/>
      <w:divBdr>
        <w:top w:val="none" w:sz="0" w:space="0" w:color="auto"/>
        <w:left w:val="none" w:sz="0" w:space="0" w:color="auto"/>
        <w:bottom w:val="none" w:sz="0" w:space="0" w:color="auto"/>
        <w:right w:val="none" w:sz="0" w:space="0" w:color="auto"/>
      </w:divBdr>
    </w:div>
    <w:div w:id="1745058557">
      <w:bodyDiv w:val="1"/>
      <w:marLeft w:val="0"/>
      <w:marRight w:val="0"/>
      <w:marTop w:val="0"/>
      <w:marBottom w:val="0"/>
      <w:divBdr>
        <w:top w:val="none" w:sz="0" w:space="0" w:color="auto"/>
        <w:left w:val="none" w:sz="0" w:space="0" w:color="auto"/>
        <w:bottom w:val="none" w:sz="0" w:space="0" w:color="auto"/>
        <w:right w:val="none" w:sz="0" w:space="0" w:color="auto"/>
      </w:divBdr>
    </w:div>
    <w:div w:id="1750030705">
      <w:bodyDiv w:val="1"/>
      <w:marLeft w:val="0"/>
      <w:marRight w:val="0"/>
      <w:marTop w:val="0"/>
      <w:marBottom w:val="0"/>
      <w:divBdr>
        <w:top w:val="none" w:sz="0" w:space="0" w:color="auto"/>
        <w:left w:val="none" w:sz="0" w:space="0" w:color="auto"/>
        <w:bottom w:val="none" w:sz="0" w:space="0" w:color="auto"/>
        <w:right w:val="none" w:sz="0" w:space="0" w:color="auto"/>
      </w:divBdr>
    </w:div>
    <w:div w:id="1751582678">
      <w:bodyDiv w:val="1"/>
      <w:marLeft w:val="0"/>
      <w:marRight w:val="0"/>
      <w:marTop w:val="0"/>
      <w:marBottom w:val="0"/>
      <w:divBdr>
        <w:top w:val="none" w:sz="0" w:space="0" w:color="auto"/>
        <w:left w:val="none" w:sz="0" w:space="0" w:color="auto"/>
        <w:bottom w:val="none" w:sz="0" w:space="0" w:color="auto"/>
        <w:right w:val="none" w:sz="0" w:space="0" w:color="auto"/>
      </w:divBdr>
    </w:div>
    <w:div w:id="1795057487">
      <w:bodyDiv w:val="1"/>
      <w:marLeft w:val="0"/>
      <w:marRight w:val="0"/>
      <w:marTop w:val="0"/>
      <w:marBottom w:val="0"/>
      <w:divBdr>
        <w:top w:val="none" w:sz="0" w:space="0" w:color="auto"/>
        <w:left w:val="none" w:sz="0" w:space="0" w:color="auto"/>
        <w:bottom w:val="none" w:sz="0" w:space="0" w:color="auto"/>
        <w:right w:val="none" w:sz="0" w:space="0" w:color="auto"/>
      </w:divBdr>
    </w:div>
    <w:div w:id="1797747636">
      <w:bodyDiv w:val="1"/>
      <w:marLeft w:val="0"/>
      <w:marRight w:val="0"/>
      <w:marTop w:val="0"/>
      <w:marBottom w:val="0"/>
      <w:divBdr>
        <w:top w:val="none" w:sz="0" w:space="0" w:color="auto"/>
        <w:left w:val="none" w:sz="0" w:space="0" w:color="auto"/>
        <w:bottom w:val="none" w:sz="0" w:space="0" w:color="auto"/>
        <w:right w:val="none" w:sz="0" w:space="0" w:color="auto"/>
      </w:divBdr>
    </w:div>
    <w:div w:id="1814058164">
      <w:bodyDiv w:val="1"/>
      <w:marLeft w:val="0"/>
      <w:marRight w:val="0"/>
      <w:marTop w:val="0"/>
      <w:marBottom w:val="0"/>
      <w:divBdr>
        <w:top w:val="none" w:sz="0" w:space="0" w:color="auto"/>
        <w:left w:val="none" w:sz="0" w:space="0" w:color="auto"/>
        <w:bottom w:val="none" w:sz="0" w:space="0" w:color="auto"/>
        <w:right w:val="none" w:sz="0" w:space="0" w:color="auto"/>
      </w:divBdr>
    </w:div>
    <w:div w:id="1819880949">
      <w:bodyDiv w:val="1"/>
      <w:marLeft w:val="0"/>
      <w:marRight w:val="0"/>
      <w:marTop w:val="0"/>
      <w:marBottom w:val="0"/>
      <w:divBdr>
        <w:top w:val="none" w:sz="0" w:space="0" w:color="auto"/>
        <w:left w:val="none" w:sz="0" w:space="0" w:color="auto"/>
        <w:bottom w:val="none" w:sz="0" w:space="0" w:color="auto"/>
        <w:right w:val="none" w:sz="0" w:space="0" w:color="auto"/>
      </w:divBdr>
    </w:div>
    <w:div w:id="1821338714">
      <w:bodyDiv w:val="1"/>
      <w:marLeft w:val="0"/>
      <w:marRight w:val="0"/>
      <w:marTop w:val="0"/>
      <w:marBottom w:val="0"/>
      <w:divBdr>
        <w:top w:val="none" w:sz="0" w:space="0" w:color="auto"/>
        <w:left w:val="none" w:sz="0" w:space="0" w:color="auto"/>
        <w:bottom w:val="none" w:sz="0" w:space="0" w:color="auto"/>
        <w:right w:val="none" w:sz="0" w:space="0" w:color="auto"/>
      </w:divBdr>
    </w:div>
    <w:div w:id="1823497891">
      <w:bodyDiv w:val="1"/>
      <w:marLeft w:val="0"/>
      <w:marRight w:val="0"/>
      <w:marTop w:val="0"/>
      <w:marBottom w:val="0"/>
      <w:divBdr>
        <w:top w:val="none" w:sz="0" w:space="0" w:color="auto"/>
        <w:left w:val="none" w:sz="0" w:space="0" w:color="auto"/>
        <w:bottom w:val="none" w:sz="0" w:space="0" w:color="auto"/>
        <w:right w:val="none" w:sz="0" w:space="0" w:color="auto"/>
      </w:divBdr>
    </w:div>
    <w:div w:id="1829512260">
      <w:bodyDiv w:val="1"/>
      <w:marLeft w:val="0"/>
      <w:marRight w:val="0"/>
      <w:marTop w:val="0"/>
      <w:marBottom w:val="0"/>
      <w:divBdr>
        <w:top w:val="none" w:sz="0" w:space="0" w:color="auto"/>
        <w:left w:val="none" w:sz="0" w:space="0" w:color="auto"/>
        <w:bottom w:val="none" w:sz="0" w:space="0" w:color="auto"/>
        <w:right w:val="none" w:sz="0" w:space="0" w:color="auto"/>
      </w:divBdr>
    </w:div>
    <w:div w:id="1910458976">
      <w:bodyDiv w:val="1"/>
      <w:marLeft w:val="0"/>
      <w:marRight w:val="0"/>
      <w:marTop w:val="0"/>
      <w:marBottom w:val="0"/>
      <w:divBdr>
        <w:top w:val="none" w:sz="0" w:space="0" w:color="auto"/>
        <w:left w:val="none" w:sz="0" w:space="0" w:color="auto"/>
        <w:bottom w:val="none" w:sz="0" w:space="0" w:color="auto"/>
        <w:right w:val="none" w:sz="0" w:space="0" w:color="auto"/>
      </w:divBdr>
    </w:div>
    <w:div w:id="1933123703">
      <w:bodyDiv w:val="1"/>
      <w:marLeft w:val="0"/>
      <w:marRight w:val="0"/>
      <w:marTop w:val="0"/>
      <w:marBottom w:val="0"/>
      <w:divBdr>
        <w:top w:val="none" w:sz="0" w:space="0" w:color="auto"/>
        <w:left w:val="none" w:sz="0" w:space="0" w:color="auto"/>
        <w:bottom w:val="none" w:sz="0" w:space="0" w:color="auto"/>
        <w:right w:val="none" w:sz="0" w:space="0" w:color="auto"/>
      </w:divBdr>
    </w:div>
    <w:div w:id="1980844055">
      <w:bodyDiv w:val="1"/>
      <w:marLeft w:val="0"/>
      <w:marRight w:val="0"/>
      <w:marTop w:val="0"/>
      <w:marBottom w:val="0"/>
      <w:divBdr>
        <w:top w:val="none" w:sz="0" w:space="0" w:color="auto"/>
        <w:left w:val="none" w:sz="0" w:space="0" w:color="auto"/>
        <w:bottom w:val="none" w:sz="0" w:space="0" w:color="auto"/>
        <w:right w:val="none" w:sz="0" w:space="0" w:color="auto"/>
      </w:divBdr>
    </w:div>
    <w:div w:id="1987011316">
      <w:bodyDiv w:val="1"/>
      <w:marLeft w:val="0"/>
      <w:marRight w:val="0"/>
      <w:marTop w:val="0"/>
      <w:marBottom w:val="0"/>
      <w:divBdr>
        <w:top w:val="none" w:sz="0" w:space="0" w:color="auto"/>
        <w:left w:val="none" w:sz="0" w:space="0" w:color="auto"/>
        <w:bottom w:val="none" w:sz="0" w:space="0" w:color="auto"/>
        <w:right w:val="none" w:sz="0" w:space="0" w:color="auto"/>
      </w:divBdr>
    </w:div>
    <w:div w:id="2020542793">
      <w:bodyDiv w:val="1"/>
      <w:marLeft w:val="0"/>
      <w:marRight w:val="0"/>
      <w:marTop w:val="0"/>
      <w:marBottom w:val="0"/>
      <w:divBdr>
        <w:top w:val="none" w:sz="0" w:space="0" w:color="auto"/>
        <w:left w:val="none" w:sz="0" w:space="0" w:color="auto"/>
        <w:bottom w:val="none" w:sz="0" w:space="0" w:color="auto"/>
        <w:right w:val="none" w:sz="0" w:space="0" w:color="auto"/>
      </w:divBdr>
    </w:div>
    <w:div w:id="2026207183">
      <w:bodyDiv w:val="1"/>
      <w:marLeft w:val="0"/>
      <w:marRight w:val="0"/>
      <w:marTop w:val="0"/>
      <w:marBottom w:val="0"/>
      <w:divBdr>
        <w:top w:val="none" w:sz="0" w:space="0" w:color="auto"/>
        <w:left w:val="none" w:sz="0" w:space="0" w:color="auto"/>
        <w:bottom w:val="none" w:sz="0" w:space="0" w:color="auto"/>
        <w:right w:val="none" w:sz="0" w:space="0" w:color="auto"/>
      </w:divBdr>
    </w:div>
    <w:div w:id="2064209777">
      <w:bodyDiv w:val="1"/>
      <w:marLeft w:val="0"/>
      <w:marRight w:val="0"/>
      <w:marTop w:val="0"/>
      <w:marBottom w:val="0"/>
      <w:divBdr>
        <w:top w:val="none" w:sz="0" w:space="0" w:color="auto"/>
        <w:left w:val="none" w:sz="0" w:space="0" w:color="auto"/>
        <w:bottom w:val="none" w:sz="0" w:space="0" w:color="auto"/>
        <w:right w:val="none" w:sz="0" w:space="0" w:color="auto"/>
      </w:divBdr>
    </w:div>
    <w:div w:id="2084063058">
      <w:bodyDiv w:val="1"/>
      <w:marLeft w:val="0"/>
      <w:marRight w:val="0"/>
      <w:marTop w:val="0"/>
      <w:marBottom w:val="0"/>
      <w:divBdr>
        <w:top w:val="none" w:sz="0" w:space="0" w:color="auto"/>
        <w:left w:val="none" w:sz="0" w:space="0" w:color="auto"/>
        <w:bottom w:val="none" w:sz="0" w:space="0" w:color="auto"/>
        <w:right w:val="none" w:sz="0" w:space="0" w:color="auto"/>
      </w:divBdr>
    </w:div>
    <w:div w:id="2098476995">
      <w:bodyDiv w:val="1"/>
      <w:marLeft w:val="0"/>
      <w:marRight w:val="0"/>
      <w:marTop w:val="0"/>
      <w:marBottom w:val="0"/>
      <w:divBdr>
        <w:top w:val="none" w:sz="0" w:space="0" w:color="auto"/>
        <w:left w:val="none" w:sz="0" w:space="0" w:color="auto"/>
        <w:bottom w:val="none" w:sz="0" w:space="0" w:color="auto"/>
        <w:right w:val="none" w:sz="0" w:space="0" w:color="auto"/>
      </w:divBdr>
    </w:div>
    <w:div w:id="2101485687">
      <w:bodyDiv w:val="1"/>
      <w:marLeft w:val="0"/>
      <w:marRight w:val="0"/>
      <w:marTop w:val="0"/>
      <w:marBottom w:val="0"/>
      <w:divBdr>
        <w:top w:val="none" w:sz="0" w:space="0" w:color="auto"/>
        <w:left w:val="none" w:sz="0" w:space="0" w:color="auto"/>
        <w:bottom w:val="none" w:sz="0" w:space="0" w:color="auto"/>
        <w:right w:val="none" w:sz="0" w:space="0" w:color="auto"/>
      </w:divBdr>
    </w:div>
    <w:div w:id="2104717079">
      <w:bodyDiv w:val="1"/>
      <w:marLeft w:val="0"/>
      <w:marRight w:val="0"/>
      <w:marTop w:val="0"/>
      <w:marBottom w:val="0"/>
      <w:divBdr>
        <w:top w:val="none" w:sz="0" w:space="0" w:color="auto"/>
        <w:left w:val="none" w:sz="0" w:space="0" w:color="auto"/>
        <w:bottom w:val="none" w:sz="0" w:space="0" w:color="auto"/>
        <w:right w:val="none" w:sz="0" w:space="0" w:color="auto"/>
      </w:divBdr>
    </w:div>
    <w:div w:id="2118601653">
      <w:bodyDiv w:val="1"/>
      <w:marLeft w:val="0"/>
      <w:marRight w:val="0"/>
      <w:marTop w:val="0"/>
      <w:marBottom w:val="0"/>
      <w:divBdr>
        <w:top w:val="none" w:sz="0" w:space="0" w:color="auto"/>
        <w:left w:val="none" w:sz="0" w:space="0" w:color="auto"/>
        <w:bottom w:val="none" w:sz="0" w:space="0" w:color="auto"/>
        <w:right w:val="none" w:sz="0" w:space="0" w:color="auto"/>
      </w:divBdr>
    </w:div>
    <w:div w:id="2127194529">
      <w:bodyDiv w:val="1"/>
      <w:marLeft w:val="0"/>
      <w:marRight w:val="0"/>
      <w:marTop w:val="0"/>
      <w:marBottom w:val="0"/>
      <w:divBdr>
        <w:top w:val="none" w:sz="0" w:space="0" w:color="auto"/>
        <w:left w:val="none" w:sz="0" w:space="0" w:color="auto"/>
        <w:bottom w:val="none" w:sz="0" w:space="0" w:color="auto"/>
        <w:right w:val="none" w:sz="0" w:space="0" w:color="auto"/>
      </w:divBdr>
    </w:div>
    <w:div w:id="2138722613">
      <w:bodyDiv w:val="1"/>
      <w:marLeft w:val="0"/>
      <w:marRight w:val="0"/>
      <w:marTop w:val="0"/>
      <w:marBottom w:val="0"/>
      <w:divBdr>
        <w:top w:val="none" w:sz="0" w:space="0" w:color="auto"/>
        <w:left w:val="none" w:sz="0" w:space="0" w:color="auto"/>
        <w:bottom w:val="none" w:sz="0" w:space="0" w:color="auto"/>
        <w:right w:val="none" w:sz="0" w:space="0" w:color="auto"/>
      </w:divBdr>
    </w:div>
    <w:div w:id="214067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D4B6D-24D5-4963-93E8-1B3B3728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15</Pages>
  <Words>8939</Words>
  <Characters>50953</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Исабекова Мадина Тилеубековна</cp:lastModifiedBy>
  <cp:revision>227</cp:revision>
  <cp:lastPrinted>2023-01-19T13:01:00Z</cp:lastPrinted>
  <dcterms:created xsi:type="dcterms:W3CDTF">2022-01-27T05:13:00Z</dcterms:created>
  <dcterms:modified xsi:type="dcterms:W3CDTF">2023-01-26T09:20:00Z</dcterms:modified>
</cp:coreProperties>
</file>